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6B6D53">
      <w:pPr>
        <w:tabs>
          <w:tab w:val="right" w:pos="9639"/>
        </w:tabs>
        <w:rPr>
          <w:rFonts w:ascii="Arial" w:hAnsi="Arial" w:eastAsia="宋体"/>
          <w:b/>
          <w:i/>
          <w:sz w:val="28"/>
        </w:rPr>
      </w:pPr>
      <w:bookmarkStart w:id="0" w:name="_Hlk181864788"/>
      <w:r>
        <w:rPr>
          <w:rFonts w:ascii="Arial" w:hAnsi="Arial" w:eastAsia="宋体"/>
          <w:b/>
          <w:sz w:val="24"/>
        </w:rPr>
        <w:t>3GPP TSG-SA5 Meeting #158</w:t>
      </w:r>
      <w:r>
        <w:rPr>
          <w:rFonts w:ascii="Arial" w:hAnsi="Arial" w:eastAsia="宋体"/>
          <w:b/>
          <w:i/>
          <w:sz w:val="28"/>
        </w:rPr>
        <w:tab/>
      </w:r>
      <w:r>
        <w:rPr>
          <w:rFonts w:hint="eastAsia" w:ascii="Arial" w:hAnsi="Arial" w:eastAsia="宋体"/>
          <w:b/>
          <w:i w:val="0"/>
          <w:iCs/>
          <w:sz w:val="28"/>
        </w:rPr>
        <w:t>S5-246554</w:t>
      </w:r>
    </w:p>
    <w:p w14:paraId="5FDDB43C">
      <w:pPr>
        <w:widowControl w:val="0"/>
        <w:rPr>
          <w:rFonts w:ascii="Arial" w:hAnsi="Arial" w:eastAsia="Batang" w:cs="Arial"/>
          <w:b/>
          <w:lang w:val="it-IT" w:eastAsia="zh-CN"/>
        </w:rPr>
      </w:pPr>
      <w:r>
        <w:rPr>
          <w:rFonts w:ascii="Arial" w:hAnsi="Arial" w:eastAsia="宋体"/>
          <w:b/>
          <w:sz w:val="24"/>
          <w:lang w:val="it-IT"/>
        </w:rPr>
        <w:t>Orlando, USA, 18 - 22 November 2024</w:t>
      </w:r>
      <w:bookmarkEnd w:id="0"/>
      <w:r>
        <w:rPr>
          <w:lang w:val="it-IT"/>
        </w:rPr>
        <w:tab/>
      </w:r>
    </w:p>
    <w:p w14:paraId="6DB00662">
      <w:pPr>
        <w:pBdr>
          <w:bottom w:val="single" w:color="auto" w:sz="4" w:space="1"/>
        </w:pBdr>
        <w:tabs>
          <w:tab w:val="right" w:pos="9639"/>
        </w:tabs>
        <w:jc w:val="both"/>
        <w:outlineLvl w:val="0"/>
        <w:rPr>
          <w:rFonts w:ascii="Arial" w:hAnsi="Arial" w:eastAsia="Batang" w:cs="Arial"/>
          <w:b/>
          <w:sz w:val="24"/>
          <w:lang w:val="it-IT" w:eastAsia="zh-CN"/>
        </w:rPr>
      </w:pPr>
      <w:bookmarkStart w:id="9" w:name="_GoBack"/>
      <w:bookmarkEnd w:id="9"/>
    </w:p>
    <w:p w14:paraId="14F1C66E">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it-IT" w:eastAsia="zh-CN"/>
        </w:rPr>
        <w:t>Source:</w:t>
      </w:r>
      <w:r>
        <w:rPr>
          <w:rFonts w:ascii="Arial" w:hAnsi="Arial" w:eastAsia="Batang"/>
          <w:b/>
          <w:sz w:val="24"/>
          <w:szCs w:val="24"/>
          <w:lang w:val="it-IT" w:eastAsia="zh-CN"/>
        </w:rPr>
        <w:tab/>
      </w:r>
      <w:bookmarkStart w:id="1" w:name="OLE_LINK2"/>
      <w:r>
        <w:rPr>
          <w:rFonts w:hint="eastAsia" w:ascii="Arial" w:hAnsi="Arial" w:eastAsia="Batang"/>
          <w:b/>
          <w:sz w:val="24"/>
          <w:szCs w:val="24"/>
          <w:lang w:val="it-IT" w:eastAsia="zh-CN"/>
        </w:rPr>
        <w:t>China Mobile</w:t>
      </w:r>
      <w:r>
        <w:rPr>
          <w:rFonts w:ascii="Arial" w:hAnsi="Arial" w:eastAsia="Batang"/>
          <w:b/>
          <w:sz w:val="24"/>
          <w:szCs w:val="24"/>
          <w:lang w:val="it-IT" w:eastAsia="zh-CN"/>
        </w:rPr>
        <w:t>, NTT D</w:t>
      </w:r>
      <w:r>
        <w:rPr>
          <w:rFonts w:hint="eastAsia" w:ascii="Arial" w:hAnsi="Arial" w:eastAsia="Batang"/>
          <w:b/>
          <w:sz w:val="24"/>
          <w:szCs w:val="24"/>
          <w:lang w:val="it-IT" w:eastAsia="zh-CN"/>
        </w:rPr>
        <w:t>OCOMO</w:t>
      </w:r>
      <w:r>
        <w:rPr>
          <w:rFonts w:hint="eastAsia" w:ascii="Arial" w:hAnsi="Arial" w:eastAsia="Batang"/>
          <w:b/>
          <w:sz w:val="24"/>
          <w:szCs w:val="24"/>
          <w:lang w:val="en-US" w:eastAsia="zh-CN"/>
        </w:rPr>
        <w:t>, Rakuten Mobile</w:t>
      </w:r>
      <w:bookmarkEnd w:id="1"/>
    </w:p>
    <w:p w14:paraId="1A5621EF">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eastAsia="zh-CN"/>
        </w:rPr>
        <w:t>cloud aspects of management and orchestration</w:t>
      </w:r>
    </w:p>
    <w:p w14:paraId="75609B99">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63E2B41">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6.2.2</w:t>
      </w:r>
    </w:p>
    <w:p w14:paraId="6A0E1B07">
      <w:pPr>
        <w:rPr>
          <w:rFonts w:eastAsia="Batang"/>
          <w:lang w:val="en-US" w:eastAsia="zh-CN"/>
        </w:rPr>
      </w:pPr>
    </w:p>
    <w:p w14:paraId="3A2FC125">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55118DF8">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1D8041A8">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Management of cloud aspects of management and orchestration</w:t>
      </w:r>
    </w:p>
    <w:p w14:paraId="5C638659">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Cloud_OAM</w:t>
      </w:r>
    </w:p>
    <w:p w14:paraId="7125E6A3">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560DE10B">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Rel-19</w:t>
      </w:r>
    </w:p>
    <w:p w14:paraId="6D7F372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4473393E">
      <w:pPr>
        <w:pStyle w:val="25"/>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715FDE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1367DF5C">
            <w:pPr>
              <w:pStyle w:val="28"/>
            </w:pPr>
            <w:r>
              <w:t>Affects:</w:t>
            </w:r>
          </w:p>
        </w:tc>
        <w:tc>
          <w:tcPr>
            <w:tcW w:w="1275" w:type="dxa"/>
            <w:tcBorders>
              <w:left w:val="nil"/>
              <w:bottom w:val="single" w:color="auto" w:sz="12" w:space="0"/>
            </w:tcBorders>
            <w:shd w:val="clear" w:color="auto" w:fill="E0E0E0"/>
          </w:tcPr>
          <w:p w14:paraId="12F08C1D">
            <w:pPr>
              <w:pStyle w:val="28"/>
            </w:pPr>
            <w:r>
              <w:t>UICC apps</w:t>
            </w:r>
          </w:p>
        </w:tc>
        <w:tc>
          <w:tcPr>
            <w:tcW w:w="1037" w:type="dxa"/>
            <w:tcBorders>
              <w:bottom w:val="single" w:color="auto" w:sz="12" w:space="0"/>
            </w:tcBorders>
            <w:shd w:val="clear" w:color="auto" w:fill="E0E0E0"/>
          </w:tcPr>
          <w:p w14:paraId="313BF726">
            <w:pPr>
              <w:pStyle w:val="28"/>
            </w:pPr>
            <w:r>
              <w:t>ME</w:t>
            </w:r>
          </w:p>
        </w:tc>
        <w:tc>
          <w:tcPr>
            <w:tcW w:w="850" w:type="dxa"/>
            <w:tcBorders>
              <w:bottom w:val="single" w:color="auto" w:sz="12" w:space="0"/>
            </w:tcBorders>
            <w:shd w:val="clear" w:color="auto" w:fill="E0E0E0"/>
          </w:tcPr>
          <w:p w14:paraId="648532A3">
            <w:pPr>
              <w:pStyle w:val="28"/>
            </w:pPr>
            <w:r>
              <w:t>AN</w:t>
            </w:r>
          </w:p>
        </w:tc>
        <w:tc>
          <w:tcPr>
            <w:tcW w:w="851" w:type="dxa"/>
            <w:tcBorders>
              <w:bottom w:val="single" w:color="auto" w:sz="12" w:space="0"/>
            </w:tcBorders>
            <w:shd w:val="clear" w:color="auto" w:fill="E0E0E0"/>
          </w:tcPr>
          <w:p w14:paraId="64F47C24">
            <w:pPr>
              <w:pStyle w:val="28"/>
            </w:pPr>
            <w:r>
              <w:t>CN</w:t>
            </w:r>
          </w:p>
        </w:tc>
        <w:tc>
          <w:tcPr>
            <w:tcW w:w="1752" w:type="dxa"/>
            <w:tcBorders>
              <w:bottom w:val="single" w:color="auto" w:sz="12" w:space="0"/>
            </w:tcBorders>
            <w:shd w:val="clear" w:color="auto" w:fill="E0E0E0"/>
          </w:tcPr>
          <w:p w14:paraId="124B649F">
            <w:pPr>
              <w:pStyle w:val="28"/>
            </w:pPr>
            <w:r>
              <w:t>Others (specify)</w:t>
            </w:r>
          </w:p>
        </w:tc>
      </w:tr>
      <w:tr w14:paraId="1BC60E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05EEBEE3">
            <w:pPr>
              <w:pStyle w:val="28"/>
            </w:pPr>
            <w:r>
              <w:t>Yes</w:t>
            </w:r>
          </w:p>
        </w:tc>
        <w:tc>
          <w:tcPr>
            <w:tcW w:w="1275" w:type="dxa"/>
            <w:tcBorders>
              <w:top w:val="nil"/>
              <w:left w:val="nil"/>
            </w:tcBorders>
          </w:tcPr>
          <w:p w14:paraId="331DBFBD">
            <w:pPr>
              <w:pStyle w:val="29"/>
            </w:pPr>
          </w:p>
        </w:tc>
        <w:tc>
          <w:tcPr>
            <w:tcW w:w="1037" w:type="dxa"/>
            <w:tcBorders>
              <w:top w:val="nil"/>
            </w:tcBorders>
          </w:tcPr>
          <w:p w14:paraId="1751951F">
            <w:pPr>
              <w:pStyle w:val="29"/>
            </w:pPr>
          </w:p>
        </w:tc>
        <w:tc>
          <w:tcPr>
            <w:tcW w:w="850" w:type="dxa"/>
            <w:tcBorders>
              <w:top w:val="nil"/>
            </w:tcBorders>
          </w:tcPr>
          <w:p w14:paraId="2FD28979">
            <w:pPr>
              <w:pStyle w:val="29"/>
            </w:pPr>
            <w:r>
              <w:t>X</w:t>
            </w:r>
          </w:p>
        </w:tc>
        <w:tc>
          <w:tcPr>
            <w:tcW w:w="851" w:type="dxa"/>
            <w:tcBorders>
              <w:top w:val="nil"/>
            </w:tcBorders>
          </w:tcPr>
          <w:p w14:paraId="3AF0BE2D">
            <w:pPr>
              <w:pStyle w:val="29"/>
            </w:pPr>
            <w:r>
              <w:t>X</w:t>
            </w:r>
          </w:p>
        </w:tc>
        <w:tc>
          <w:tcPr>
            <w:tcW w:w="1752" w:type="dxa"/>
            <w:tcBorders>
              <w:top w:val="nil"/>
            </w:tcBorders>
          </w:tcPr>
          <w:p w14:paraId="40BC884F">
            <w:pPr>
              <w:pStyle w:val="29"/>
            </w:pPr>
          </w:p>
        </w:tc>
      </w:tr>
      <w:tr w14:paraId="4EDF83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835687E">
            <w:pPr>
              <w:pStyle w:val="28"/>
            </w:pPr>
            <w:r>
              <w:t>No</w:t>
            </w:r>
          </w:p>
        </w:tc>
        <w:tc>
          <w:tcPr>
            <w:tcW w:w="1275" w:type="dxa"/>
            <w:tcBorders>
              <w:left w:val="nil"/>
            </w:tcBorders>
          </w:tcPr>
          <w:p w14:paraId="53F65754">
            <w:pPr>
              <w:pStyle w:val="29"/>
            </w:pPr>
            <w:r>
              <w:t>X</w:t>
            </w:r>
          </w:p>
        </w:tc>
        <w:tc>
          <w:tcPr>
            <w:tcW w:w="1037" w:type="dxa"/>
          </w:tcPr>
          <w:p w14:paraId="2C811C24">
            <w:pPr>
              <w:pStyle w:val="29"/>
            </w:pPr>
            <w:r>
              <w:t>X</w:t>
            </w:r>
          </w:p>
        </w:tc>
        <w:tc>
          <w:tcPr>
            <w:tcW w:w="850" w:type="dxa"/>
          </w:tcPr>
          <w:p w14:paraId="702156C2">
            <w:pPr>
              <w:pStyle w:val="29"/>
            </w:pPr>
          </w:p>
        </w:tc>
        <w:tc>
          <w:tcPr>
            <w:tcW w:w="851" w:type="dxa"/>
          </w:tcPr>
          <w:p w14:paraId="4A0A4DD5">
            <w:pPr>
              <w:pStyle w:val="29"/>
            </w:pPr>
          </w:p>
        </w:tc>
        <w:tc>
          <w:tcPr>
            <w:tcW w:w="1752" w:type="dxa"/>
          </w:tcPr>
          <w:p w14:paraId="0858B9E0">
            <w:pPr>
              <w:pStyle w:val="29"/>
            </w:pPr>
          </w:p>
        </w:tc>
      </w:tr>
      <w:tr w14:paraId="035394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6FC5412E">
            <w:pPr>
              <w:pStyle w:val="28"/>
            </w:pPr>
            <w:r>
              <w:t>Don't know</w:t>
            </w:r>
          </w:p>
        </w:tc>
        <w:tc>
          <w:tcPr>
            <w:tcW w:w="1275" w:type="dxa"/>
            <w:tcBorders>
              <w:left w:val="nil"/>
            </w:tcBorders>
          </w:tcPr>
          <w:p w14:paraId="7D6286EE">
            <w:pPr>
              <w:pStyle w:val="29"/>
            </w:pPr>
          </w:p>
        </w:tc>
        <w:tc>
          <w:tcPr>
            <w:tcW w:w="1037" w:type="dxa"/>
          </w:tcPr>
          <w:p w14:paraId="47DF572A">
            <w:pPr>
              <w:pStyle w:val="29"/>
            </w:pPr>
          </w:p>
        </w:tc>
        <w:tc>
          <w:tcPr>
            <w:tcW w:w="850" w:type="dxa"/>
          </w:tcPr>
          <w:p w14:paraId="5E1FC617">
            <w:pPr>
              <w:pStyle w:val="29"/>
            </w:pPr>
          </w:p>
        </w:tc>
        <w:tc>
          <w:tcPr>
            <w:tcW w:w="851" w:type="dxa"/>
          </w:tcPr>
          <w:p w14:paraId="03FF4669">
            <w:pPr>
              <w:pStyle w:val="29"/>
            </w:pPr>
          </w:p>
        </w:tc>
        <w:tc>
          <w:tcPr>
            <w:tcW w:w="1752" w:type="dxa"/>
          </w:tcPr>
          <w:p w14:paraId="733CECC1">
            <w:pPr>
              <w:pStyle w:val="29"/>
            </w:pPr>
            <w:r>
              <w:t>X</w:t>
            </w:r>
          </w:p>
        </w:tc>
      </w:tr>
    </w:tbl>
    <w:p w14:paraId="386D7FA1"/>
    <w:p w14:paraId="5BC610A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587A3E0C">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64AB289A">
      <w:pPr>
        <w:pStyle w:val="4"/>
      </w:pPr>
      <w:r>
        <w:t>This work item is a …</w:t>
      </w:r>
    </w:p>
    <w:p w14:paraId="15417869">
      <w:pPr>
        <w:pStyle w:val="25"/>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589387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BB50D2B">
            <w:pPr>
              <w:pStyle w:val="29"/>
            </w:pPr>
          </w:p>
        </w:tc>
        <w:tc>
          <w:tcPr>
            <w:tcW w:w="2917" w:type="dxa"/>
            <w:shd w:val="clear" w:color="auto" w:fill="E0E0E0"/>
          </w:tcPr>
          <w:p w14:paraId="3BC6E6DD">
            <w:pPr>
              <w:pStyle w:val="28"/>
              <w:ind w:right="-99"/>
              <w:jc w:val="left"/>
              <w:rPr>
                <w:b w:val="0"/>
                <w:bCs/>
                <w:color w:val="0000FF"/>
              </w:rPr>
            </w:pPr>
            <w:r>
              <w:rPr>
                <w:b w:val="0"/>
                <w:bCs/>
                <w:color w:val="0000FF"/>
                <w:sz w:val="20"/>
              </w:rPr>
              <w:t xml:space="preserve">Study </w:t>
            </w:r>
          </w:p>
        </w:tc>
      </w:tr>
      <w:tr w14:paraId="202E1E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EC6C8B6">
            <w:pPr>
              <w:pStyle w:val="29"/>
            </w:pPr>
            <w:r>
              <w:t>X</w:t>
            </w:r>
          </w:p>
        </w:tc>
        <w:tc>
          <w:tcPr>
            <w:tcW w:w="2917" w:type="dxa"/>
            <w:shd w:val="clear" w:color="auto" w:fill="E0E0E0"/>
          </w:tcPr>
          <w:p w14:paraId="1B0EC1D1">
            <w:pPr>
              <w:pStyle w:val="28"/>
              <w:ind w:right="-99"/>
              <w:jc w:val="left"/>
              <w:rPr>
                <w:b w:val="0"/>
                <w:bCs/>
                <w:color w:val="auto"/>
              </w:rPr>
            </w:pPr>
            <w:r>
              <w:rPr>
                <w:b w:val="0"/>
                <w:bCs/>
                <w:color w:val="auto"/>
                <w:sz w:val="20"/>
              </w:rPr>
              <w:t>Normative – Stage 1</w:t>
            </w:r>
          </w:p>
        </w:tc>
      </w:tr>
      <w:tr w14:paraId="7B7424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4C8234">
            <w:pPr>
              <w:pStyle w:val="29"/>
            </w:pPr>
            <w:r>
              <w:t>X</w:t>
            </w:r>
          </w:p>
        </w:tc>
        <w:tc>
          <w:tcPr>
            <w:tcW w:w="2917" w:type="dxa"/>
            <w:shd w:val="clear" w:color="auto" w:fill="E0E0E0"/>
          </w:tcPr>
          <w:p w14:paraId="262BDAC3">
            <w:pPr>
              <w:pStyle w:val="28"/>
              <w:ind w:right="-99"/>
              <w:jc w:val="left"/>
              <w:rPr>
                <w:b w:val="0"/>
                <w:bCs/>
                <w:color w:val="auto"/>
              </w:rPr>
            </w:pPr>
            <w:r>
              <w:rPr>
                <w:b w:val="0"/>
                <w:bCs/>
                <w:color w:val="auto"/>
                <w:sz w:val="20"/>
              </w:rPr>
              <w:t>Normative – Stage 2</w:t>
            </w:r>
          </w:p>
        </w:tc>
      </w:tr>
      <w:tr w14:paraId="4E55CB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1A7907E">
            <w:pPr>
              <w:pStyle w:val="29"/>
            </w:pPr>
            <w:r>
              <w:t>X</w:t>
            </w:r>
          </w:p>
        </w:tc>
        <w:tc>
          <w:tcPr>
            <w:tcW w:w="2917" w:type="dxa"/>
            <w:shd w:val="clear" w:color="auto" w:fill="E0E0E0"/>
          </w:tcPr>
          <w:p w14:paraId="045F1283">
            <w:pPr>
              <w:pStyle w:val="28"/>
              <w:ind w:right="-99"/>
              <w:jc w:val="left"/>
              <w:rPr>
                <w:b w:val="0"/>
                <w:bCs/>
                <w:color w:val="auto"/>
              </w:rPr>
            </w:pPr>
            <w:r>
              <w:rPr>
                <w:b w:val="0"/>
                <w:bCs/>
                <w:color w:val="auto"/>
                <w:sz w:val="20"/>
              </w:rPr>
              <w:t>Normative – Stage 3</w:t>
            </w:r>
          </w:p>
        </w:tc>
      </w:tr>
      <w:tr w14:paraId="4B865A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C78A215">
            <w:pPr>
              <w:pStyle w:val="29"/>
            </w:pPr>
          </w:p>
        </w:tc>
        <w:tc>
          <w:tcPr>
            <w:tcW w:w="2917" w:type="dxa"/>
            <w:shd w:val="clear" w:color="auto" w:fill="E0E0E0"/>
          </w:tcPr>
          <w:p w14:paraId="4AEEF052">
            <w:pPr>
              <w:pStyle w:val="28"/>
              <w:ind w:right="-99"/>
              <w:jc w:val="left"/>
              <w:rPr>
                <w:b w:val="0"/>
                <w:bCs/>
                <w:color w:val="auto"/>
              </w:rPr>
            </w:pPr>
            <w:r>
              <w:rPr>
                <w:b w:val="0"/>
                <w:bCs/>
                <w:color w:val="auto"/>
                <w:sz w:val="20"/>
              </w:rPr>
              <w:t>Normative – Other*</w:t>
            </w:r>
          </w:p>
        </w:tc>
      </w:tr>
    </w:tbl>
    <w:p w14:paraId="7C570CBE">
      <w:pPr>
        <w:ind w:right="-99"/>
        <w:rPr>
          <w:b/>
        </w:rPr>
      </w:pPr>
    </w:p>
    <w:p w14:paraId="3290C8CA">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7773B948">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B2F1D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97FF6F">
            <w:pPr>
              <w:pStyle w:val="28"/>
              <w:ind w:right="-99"/>
              <w:jc w:val="left"/>
            </w:pPr>
            <w:r>
              <w:t xml:space="preserve">Parent Work / Study Items </w:t>
            </w:r>
          </w:p>
        </w:tc>
      </w:tr>
      <w:tr w14:paraId="150678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shd w:val="clear" w:color="auto" w:fill="E0E0E0"/>
          </w:tcPr>
          <w:p w14:paraId="199D6200">
            <w:pPr>
              <w:pStyle w:val="28"/>
              <w:ind w:right="-99"/>
              <w:jc w:val="left"/>
            </w:pPr>
            <w:r>
              <w:t>Acronym</w:t>
            </w:r>
          </w:p>
        </w:tc>
        <w:tc>
          <w:tcPr>
            <w:tcW w:w="1101" w:type="dxa"/>
            <w:shd w:val="clear" w:color="auto" w:fill="E0E0E0"/>
          </w:tcPr>
          <w:p w14:paraId="45C5689A">
            <w:pPr>
              <w:pStyle w:val="28"/>
              <w:ind w:right="-99"/>
              <w:jc w:val="left"/>
            </w:pPr>
            <w:r>
              <w:t>Working Group</w:t>
            </w:r>
          </w:p>
        </w:tc>
        <w:tc>
          <w:tcPr>
            <w:tcW w:w="1101" w:type="dxa"/>
            <w:shd w:val="clear" w:color="auto" w:fill="E0E0E0"/>
          </w:tcPr>
          <w:p w14:paraId="414AA42D">
            <w:pPr>
              <w:pStyle w:val="28"/>
              <w:ind w:right="-99"/>
              <w:jc w:val="left"/>
            </w:pPr>
            <w:r>
              <w:t>Unique ID</w:t>
            </w:r>
          </w:p>
        </w:tc>
        <w:tc>
          <w:tcPr>
            <w:tcW w:w="6010" w:type="dxa"/>
            <w:shd w:val="clear" w:color="auto" w:fill="E0E0E0"/>
          </w:tcPr>
          <w:p w14:paraId="67893015">
            <w:pPr>
              <w:pStyle w:val="28"/>
              <w:ind w:right="-99"/>
              <w:jc w:val="left"/>
            </w:pPr>
            <w:r>
              <w:t>Title (as in 3GPP Work Plan)</w:t>
            </w:r>
          </w:p>
        </w:tc>
      </w:tr>
      <w:tr w14:paraId="714660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344530E0">
            <w:pPr>
              <w:pStyle w:val="27"/>
            </w:pPr>
            <w:r>
              <w:rPr>
                <w:rFonts w:hint="eastAsia"/>
              </w:rPr>
              <w:t>FS_Cloud_OAM</w:t>
            </w:r>
          </w:p>
        </w:tc>
        <w:tc>
          <w:tcPr>
            <w:tcW w:w="1101" w:type="dxa"/>
          </w:tcPr>
          <w:p w14:paraId="5D70E314">
            <w:pPr>
              <w:pStyle w:val="27"/>
            </w:pPr>
            <w:r>
              <w:rPr>
                <w:rFonts w:hint="eastAsia" w:eastAsia="宋体"/>
                <w:lang w:val="en-US" w:eastAsia="zh-CN"/>
              </w:rPr>
              <w:t>SA5</w:t>
            </w:r>
          </w:p>
        </w:tc>
        <w:tc>
          <w:tcPr>
            <w:tcW w:w="1101" w:type="dxa"/>
          </w:tcPr>
          <w:p w14:paraId="4EC47113">
            <w:pPr>
              <w:pStyle w:val="27"/>
            </w:pPr>
            <w:r>
              <w:rPr>
                <w:rFonts w:hint="eastAsia"/>
              </w:rPr>
              <w:t>1020010</w:t>
            </w:r>
          </w:p>
        </w:tc>
        <w:tc>
          <w:tcPr>
            <w:tcW w:w="6010" w:type="dxa"/>
          </w:tcPr>
          <w:p w14:paraId="6132B493">
            <w:pPr>
              <w:pStyle w:val="27"/>
            </w:pPr>
            <w:r>
              <w:rPr>
                <w:rFonts w:hint="eastAsia"/>
              </w:rPr>
              <w:t xml:space="preserve"> Study on Cloud Aspects of Management and Orchestration</w:t>
            </w:r>
          </w:p>
        </w:tc>
      </w:tr>
    </w:tbl>
    <w:p w14:paraId="3402BD59"/>
    <w:p w14:paraId="6826BC19">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14:paraId="310AF0D6">
      <w:pPr>
        <w:pStyle w:val="25"/>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8344A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0BC60ED9">
            <w:pPr>
              <w:pStyle w:val="28"/>
            </w:pPr>
            <w:r>
              <w:t>Other related Work /Study Items (if any)</w:t>
            </w:r>
          </w:p>
        </w:tc>
      </w:tr>
      <w:tr w14:paraId="40627B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925E474">
            <w:pPr>
              <w:pStyle w:val="28"/>
            </w:pPr>
            <w:r>
              <w:t>Unique ID</w:t>
            </w:r>
          </w:p>
        </w:tc>
        <w:tc>
          <w:tcPr>
            <w:tcW w:w="3326" w:type="dxa"/>
            <w:shd w:val="clear" w:color="auto" w:fill="E0E0E0"/>
          </w:tcPr>
          <w:p w14:paraId="5DB9EB0A">
            <w:pPr>
              <w:pStyle w:val="28"/>
            </w:pPr>
            <w:r>
              <w:t>Title</w:t>
            </w:r>
          </w:p>
        </w:tc>
        <w:tc>
          <w:tcPr>
            <w:tcW w:w="5099" w:type="dxa"/>
            <w:shd w:val="clear" w:color="auto" w:fill="E0E0E0"/>
          </w:tcPr>
          <w:p w14:paraId="407AC19D">
            <w:pPr>
              <w:pStyle w:val="28"/>
            </w:pPr>
            <w:r>
              <w:t>Nature of relationship</w:t>
            </w:r>
          </w:p>
        </w:tc>
      </w:tr>
      <w:tr w14:paraId="4A6B7B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1D362F8B">
            <w:pPr>
              <w:pStyle w:val="27"/>
            </w:pPr>
          </w:p>
        </w:tc>
        <w:tc>
          <w:tcPr>
            <w:tcW w:w="3326" w:type="dxa"/>
          </w:tcPr>
          <w:p w14:paraId="42CA96B3">
            <w:pPr>
              <w:pStyle w:val="27"/>
            </w:pPr>
          </w:p>
        </w:tc>
        <w:tc>
          <w:tcPr>
            <w:tcW w:w="5099" w:type="dxa"/>
          </w:tcPr>
          <w:p w14:paraId="71043B7F">
            <w:pPr>
              <w:pStyle w:val="25"/>
            </w:pPr>
          </w:p>
        </w:tc>
      </w:tr>
    </w:tbl>
    <w:p w14:paraId="1871EEE9">
      <w:pPr>
        <w:pStyle w:val="30"/>
      </w:pPr>
    </w:p>
    <w:p w14:paraId="65E70EF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DDBCA79">
      <w:r>
        <w:rPr>
          <w:lang w:val="en-US"/>
        </w:rPr>
        <w:t>TR 28.</w:t>
      </w:r>
      <w:r>
        <w:rPr>
          <w:rFonts w:hint="eastAsia" w:eastAsia="宋体"/>
          <w:lang w:val="en-US" w:eastAsia="zh-CN"/>
        </w:rPr>
        <w:t>869</w:t>
      </w:r>
      <w:r>
        <w:rPr>
          <w:rFonts w:hint="eastAsia"/>
          <w:lang w:val="en-US" w:eastAsia="zh-CN"/>
        </w:rPr>
        <w:t xml:space="preserve"> </w:t>
      </w:r>
      <w:r>
        <w:t>studies cloud aspects of management and orchestration</w:t>
      </w:r>
      <w:r>
        <w:rPr>
          <w:rFonts w:hint="eastAsia" w:eastAsia="宋体"/>
          <w:lang w:val="en-US" w:eastAsia="zh-CN"/>
        </w:rPr>
        <w:t xml:space="preserve">, </w:t>
      </w:r>
      <w:r>
        <w:t xml:space="preserve">specifically, the use of VNF generic OAM functions defined by ETSI NFV, the use of industry solutions including ETSI NFV’s NFV-MANO, and other solutions for management of cloud native network functions, and the support of different cloud deployment scenarios. </w:t>
      </w:r>
    </w:p>
    <w:p w14:paraId="5FBCECB9"/>
    <w:p w14:paraId="6C3563DB">
      <w:pPr>
        <w:rPr>
          <w:rFonts w:eastAsia="宋体"/>
          <w:lang w:val="en-US" w:eastAsia="zh-CN"/>
        </w:rPr>
      </w:pPr>
      <w:r>
        <w:rPr>
          <w:rFonts w:hint="eastAsia" w:eastAsia="宋体"/>
          <w:lang w:val="en-US" w:eastAsia="zh-CN"/>
        </w:rPr>
        <w:t xml:space="preserve">The following key issues were </w:t>
      </w:r>
      <w:r>
        <w:rPr>
          <w:lang w:val="en-US" w:eastAsia="zh-CN"/>
        </w:rPr>
        <w:t>analyzed</w:t>
      </w:r>
      <w:r>
        <w:rPr>
          <w:rFonts w:hint="eastAsia"/>
          <w:lang w:val="en-US" w:eastAsia="zh-CN"/>
        </w:rPr>
        <w:t xml:space="preserve"> and related solutions were </w:t>
      </w:r>
      <w:r>
        <w:t>provided in the TR phase</w:t>
      </w:r>
      <w:r>
        <w:rPr>
          <w:rFonts w:hint="eastAsia" w:eastAsia="宋体"/>
          <w:lang w:val="en-US" w:eastAsia="zh-CN"/>
        </w:rPr>
        <w:t xml:space="preserve">: </w:t>
      </w:r>
    </w:p>
    <w:p w14:paraId="5744B1C2">
      <w:pPr>
        <w:rPr>
          <w:rFonts w:eastAsia="宋体"/>
          <w:lang w:val="en-US" w:eastAsia="zh-CN"/>
        </w:rPr>
      </w:pPr>
    </w:p>
    <w:p w14:paraId="01643A38">
      <w:pPr>
        <w:rPr>
          <w:rFonts w:eastAsia="宋体"/>
          <w:lang w:val="en-US" w:eastAsia="zh-CN"/>
        </w:rPr>
      </w:pPr>
      <w:r>
        <w:rPr>
          <w:rFonts w:hint="eastAsia" w:eastAsia="宋体"/>
          <w:lang w:val="en-US" w:eastAsia="zh-CN"/>
        </w:rPr>
        <w:t xml:space="preserve">-  </w:t>
      </w:r>
      <w:r>
        <w:t>Use of VNF generic OAM functions</w:t>
      </w:r>
      <w:r>
        <w:rPr>
          <w:rFonts w:hint="eastAsia" w:eastAsia="宋体"/>
          <w:lang w:val="en-US" w:eastAsia="zh-CN"/>
        </w:rPr>
        <w:t xml:space="preserve"> </w:t>
      </w:r>
      <w:r>
        <w:rPr>
          <w:rFonts w:eastAsia="宋体"/>
          <w:lang w:val="en-US" w:eastAsia="zh-CN"/>
        </w:rPr>
        <w:t>supporting</w:t>
      </w:r>
      <w:r>
        <w:rPr>
          <w:rFonts w:hint="eastAsia" w:eastAsia="宋体"/>
          <w:lang w:val="en-US" w:eastAsia="zh-CN"/>
        </w:rPr>
        <w:t xml:space="preserve"> </w:t>
      </w:r>
      <w:r>
        <w:t>cloud-native VNFs/</w:t>
      </w:r>
      <w:r>
        <w:rPr>
          <w:lang w:val="en-US"/>
        </w:rPr>
        <w:t>NF Deployment instances</w:t>
      </w:r>
      <w:r>
        <w:t xml:space="preserve"> management</w:t>
      </w:r>
      <w:r>
        <w:rPr>
          <w:rFonts w:hint="eastAsia" w:eastAsia="宋体"/>
          <w:lang w:val="en-US" w:eastAsia="zh-CN"/>
        </w:rPr>
        <w:t xml:space="preserve">: </w:t>
      </w:r>
    </w:p>
    <w:p w14:paraId="7D1A288B">
      <w:pPr>
        <w:rPr>
          <w:rFonts w:eastAsia="宋体"/>
          <w:lang w:val="en-US" w:eastAsia="zh-CN"/>
        </w:rPr>
      </w:pPr>
      <w:r>
        <w:rPr>
          <w:rFonts w:hint="eastAsia"/>
          <w:lang w:val="en-US" w:eastAsia="zh-CN"/>
        </w:rPr>
        <w:t>T</w:t>
      </w:r>
      <w:r>
        <w:rPr>
          <w:lang w:val="en-US" w:eastAsia="zh-CN"/>
        </w:rPr>
        <w:t>he use c</w:t>
      </w:r>
      <w:r>
        <w:rPr>
          <w:rFonts w:hint="eastAsia" w:eastAsia="宋体"/>
          <w:lang w:val="en-US" w:eastAsia="zh-CN"/>
        </w:rPr>
        <w:t>ases of configuration, upgrade, traffic, and policy management of cloud-native VNF</w:t>
      </w:r>
      <w:r>
        <w:rPr>
          <w:rFonts w:eastAsia="宋体"/>
          <w:lang w:val="en-US" w:eastAsia="zh-CN"/>
        </w:rPr>
        <w:t>s</w:t>
      </w:r>
      <w:r>
        <w:rPr>
          <w:rFonts w:hint="eastAsia" w:eastAsia="宋体"/>
          <w:lang w:val="en-US" w:eastAsia="zh-CN"/>
        </w:rPr>
        <w:t xml:space="preserve"> were studied, and the corresponding solutions were </w:t>
      </w:r>
      <w:r>
        <w:rPr>
          <w:rFonts w:eastAsia="宋体"/>
          <w:lang w:val="en-US" w:eastAsia="zh-CN"/>
        </w:rPr>
        <w:t>described</w:t>
      </w:r>
      <w:r>
        <w:rPr>
          <w:rFonts w:hint="eastAsia" w:eastAsia="宋体"/>
          <w:lang w:val="en-US" w:eastAsia="zh-CN"/>
        </w:rPr>
        <w:t xml:space="preserve">, which mainly </w:t>
      </w:r>
      <w:r>
        <w:rPr>
          <w:rFonts w:eastAsia="宋体"/>
          <w:lang w:val="en-US" w:eastAsia="zh-CN"/>
        </w:rPr>
        <w:t>introduce platform entities that interact with the 3GPP management system</w:t>
      </w:r>
      <w:r>
        <w:rPr>
          <w:rFonts w:hint="eastAsia" w:eastAsia="宋体"/>
          <w:lang w:val="en-US" w:eastAsia="zh-CN"/>
        </w:rPr>
        <w:t>.</w:t>
      </w:r>
    </w:p>
    <w:p w14:paraId="6F925128">
      <w:pPr>
        <w:rPr>
          <w:rFonts w:eastAsia="宋体"/>
          <w:lang w:val="en-US" w:eastAsia="zh-CN"/>
        </w:rPr>
      </w:pPr>
    </w:p>
    <w:p w14:paraId="5B40703A">
      <w:pPr>
        <w:numPr>
          <w:ilvl w:val="255"/>
          <w:numId w:val="0"/>
        </w:numPr>
        <w:rPr>
          <w:rFonts w:eastAsia="宋体"/>
          <w:lang w:val="en-US" w:eastAsia="zh-CN"/>
        </w:rPr>
      </w:pPr>
      <w:r>
        <w:rPr>
          <w:rFonts w:hint="eastAsia" w:eastAsia="宋体"/>
          <w:lang w:val="en-US" w:eastAsia="zh-CN"/>
        </w:rPr>
        <w:t xml:space="preserve">-  </w:t>
      </w:r>
      <w:r>
        <w:t>Use of industry solutions for management of cloud-native VNF</w:t>
      </w:r>
      <w:r>
        <w:rPr>
          <w:rFonts w:hint="eastAsia" w:eastAsia="宋体"/>
          <w:lang w:val="en-US" w:eastAsia="zh-CN"/>
        </w:rPr>
        <w:t>/</w:t>
      </w:r>
      <w:r>
        <w:rPr>
          <w:lang w:val="en-US"/>
        </w:rPr>
        <w:t>NF Deployment instances</w:t>
      </w:r>
      <w:r>
        <w:rPr>
          <w:rFonts w:hint="eastAsia" w:eastAsia="宋体"/>
          <w:lang w:val="en-US" w:eastAsia="zh-CN"/>
        </w:rPr>
        <w:t>:</w:t>
      </w:r>
    </w:p>
    <w:p w14:paraId="521E5549">
      <w:pPr>
        <w:numPr>
          <w:ilvl w:val="255"/>
          <w:numId w:val="0"/>
        </w:numPr>
        <w:rPr>
          <w:rFonts w:eastAsia="宋体"/>
          <w:lang w:val="en-US" w:eastAsia="zh-CN"/>
        </w:rPr>
      </w:pPr>
      <w:r>
        <w:rPr>
          <w:rFonts w:hint="eastAsia" w:eastAsia="宋体"/>
          <w:lang w:val="en-US" w:eastAsia="zh-CN"/>
        </w:rPr>
        <w:t xml:space="preserve"> </w:t>
      </w:r>
      <w:r>
        <w:rPr>
          <w:rFonts w:eastAsia="宋体"/>
          <w:lang w:val="en-US" w:eastAsia="zh-CN"/>
        </w:rPr>
        <w:t>U</w:t>
      </w:r>
      <w:r>
        <w:rPr>
          <w:rFonts w:hint="eastAsia" w:eastAsia="宋体"/>
          <w:lang w:val="en-US" w:eastAsia="zh-CN"/>
        </w:rPr>
        <w:t xml:space="preserve">se cases </w:t>
      </w:r>
      <w:r>
        <w:rPr>
          <w:rFonts w:eastAsia="宋体"/>
          <w:lang w:val="en-US" w:eastAsia="zh-CN"/>
        </w:rPr>
        <w:t>for</w:t>
      </w:r>
      <w:r>
        <w:rPr>
          <w:rFonts w:hint="eastAsia" w:eastAsia="宋体"/>
          <w:lang w:val="en-US" w:eastAsia="zh-CN"/>
        </w:rPr>
        <w:t xml:space="preserve"> </w:t>
      </w:r>
      <w:r>
        <w:t>LCM</w:t>
      </w:r>
      <w:r>
        <w:rPr>
          <w:rFonts w:hint="eastAsia" w:eastAsia="宋体"/>
          <w:lang w:val="en-US" w:eastAsia="zh-CN"/>
        </w:rPr>
        <w:t xml:space="preserve"> </w:t>
      </w:r>
      <w:r>
        <w:rPr>
          <w:rFonts w:eastAsia="宋体"/>
          <w:lang w:val="en-US" w:eastAsia="zh-CN"/>
        </w:rPr>
        <w:t xml:space="preserve">of NF Deployment instances </w:t>
      </w:r>
      <w:r>
        <w:rPr>
          <w:lang w:val="en-US" w:eastAsia="zh-CN"/>
        </w:rPr>
        <w:t xml:space="preserve">(i.e., </w:t>
      </w:r>
      <w:r>
        <w:rPr>
          <w:rFonts w:hint="eastAsia"/>
          <w:lang w:val="en-US" w:eastAsia="zh-CN"/>
        </w:rPr>
        <w:t xml:space="preserve">creation, modification, </w:t>
      </w:r>
      <w:r>
        <w:rPr>
          <w:lang w:val="en-US" w:eastAsia="zh-CN"/>
        </w:rPr>
        <w:t>termination</w:t>
      </w:r>
      <w:r>
        <w:rPr>
          <w:rFonts w:hint="eastAsia" w:eastAsia="宋体"/>
          <w:lang w:val="en-US" w:eastAsia="zh-CN"/>
        </w:rPr>
        <w:t xml:space="preserve"> </w:t>
      </w:r>
      <w:r>
        <w:rPr>
          <w:rFonts w:hint="eastAsia"/>
          <w:lang w:val="en-US" w:eastAsia="zh-CN"/>
        </w:rPr>
        <w:t xml:space="preserve">and scaling of </w:t>
      </w:r>
      <w:r>
        <w:t>NF Deployment instances)</w:t>
      </w:r>
      <w:r>
        <w:rPr>
          <w:rFonts w:hint="eastAsia" w:eastAsia="宋体"/>
          <w:lang w:val="en-US" w:eastAsia="zh-CN"/>
        </w:rPr>
        <w:t xml:space="preserve"> were studied. </w:t>
      </w:r>
      <w:r>
        <w:rPr>
          <w:rFonts w:eastAsia="宋体"/>
          <w:lang w:val="en-US" w:eastAsia="zh-CN"/>
        </w:rPr>
        <w:t xml:space="preserve">Use cases related to data streaming have been also analyzed. </w:t>
      </w:r>
      <w:r>
        <w:rPr>
          <w:rFonts w:hint="eastAsia" w:eastAsia="宋体"/>
          <w:lang w:val="en-US" w:eastAsia="zh-CN"/>
        </w:rPr>
        <w:t xml:space="preserve">The corresponding solutions </w:t>
      </w:r>
      <w:r>
        <w:rPr>
          <w:lang w:val="en-US"/>
        </w:rPr>
        <w:t>acknowledge</w:t>
      </w:r>
      <w:r>
        <w:rPr>
          <w:rFonts w:hint="eastAsia"/>
          <w:lang w:val="en-US"/>
        </w:rPr>
        <w:t xml:space="preserve"> </w:t>
      </w:r>
      <w:r>
        <w:rPr>
          <w:lang w:val="en-US"/>
        </w:rPr>
        <w:t>t</w:t>
      </w:r>
      <w:r>
        <w:rPr>
          <w:rFonts w:hint="eastAsia" w:eastAsia="宋体"/>
          <w:lang w:val="en-US" w:eastAsia="zh-CN"/>
        </w:rPr>
        <w:t>hat</w:t>
      </w:r>
      <w:r>
        <w:rPr>
          <w:lang w:val="en-US"/>
        </w:rPr>
        <w:t xml:space="preserve"> the 3GPP management architecture is flexible to support the use of NFV-MANO but not limited to it, for the management of NF Deployment instances</w:t>
      </w:r>
      <w:r>
        <w:rPr>
          <w:rFonts w:hint="eastAsia" w:eastAsia="宋体"/>
          <w:lang w:val="en-US" w:eastAsia="zh-CN"/>
        </w:rPr>
        <w:t>.</w:t>
      </w:r>
    </w:p>
    <w:p w14:paraId="70BAA0CB">
      <w:pPr>
        <w:numPr>
          <w:ilvl w:val="255"/>
          <w:numId w:val="0"/>
        </w:numPr>
        <w:rPr>
          <w:lang w:val="en-US"/>
        </w:rPr>
      </w:pPr>
    </w:p>
    <w:p w14:paraId="42B76C54">
      <w:pPr>
        <w:numPr>
          <w:ilvl w:val="255"/>
          <w:numId w:val="0"/>
        </w:numPr>
        <w:rPr>
          <w:rFonts w:eastAsia="宋体"/>
          <w:lang w:val="en-US" w:eastAsia="zh-CN"/>
        </w:rPr>
      </w:pPr>
      <w:r>
        <w:rPr>
          <w:rFonts w:hint="eastAsia" w:eastAsia="宋体"/>
          <w:lang w:val="en-US" w:eastAsia="zh-CN"/>
        </w:rPr>
        <w:t xml:space="preserve">-  </w:t>
      </w:r>
      <w:r>
        <w:t>Support of different cloud deployment scenarios</w:t>
      </w:r>
      <w:r>
        <w:rPr>
          <w:rFonts w:hint="eastAsia" w:eastAsia="宋体"/>
          <w:lang w:val="en-US" w:eastAsia="zh-CN"/>
        </w:rPr>
        <w:t>:</w:t>
      </w:r>
    </w:p>
    <w:p w14:paraId="03F813CE">
      <w:pPr>
        <w:rPr>
          <w:rFonts w:eastAsia="宋体"/>
          <w:lang w:eastAsia="zh-CN"/>
        </w:rPr>
      </w:pPr>
      <w:r>
        <w:rPr>
          <w:rFonts w:hint="eastAsia" w:eastAsia="宋体"/>
          <w:lang w:val="en-US" w:eastAsia="zh-CN"/>
        </w:rPr>
        <w:t xml:space="preserve">The use case of placement of cloud native NFs </w:t>
      </w:r>
      <w:r>
        <w:rPr>
          <w:rFonts w:eastAsia="宋体"/>
          <w:lang w:val="en-US" w:eastAsia="zh-CN"/>
        </w:rPr>
        <w:t>was</w:t>
      </w:r>
      <w:r>
        <w:rPr>
          <w:rFonts w:hint="eastAsia" w:eastAsia="宋体"/>
          <w:lang w:val="en-US" w:eastAsia="zh-CN"/>
        </w:rPr>
        <w:t xml:space="preserve"> studied</w:t>
      </w:r>
      <w:r>
        <w:rPr>
          <w:rFonts w:eastAsia="宋体"/>
          <w:lang w:val="en-US" w:eastAsia="zh-CN"/>
        </w:rPr>
        <w:t>.</w:t>
      </w:r>
      <w:r>
        <w:rPr>
          <w:rFonts w:hint="eastAsia" w:eastAsia="宋体"/>
          <w:lang w:val="en-US" w:eastAsia="zh-CN"/>
        </w:rPr>
        <w:t xml:space="preserve"> </w:t>
      </w:r>
      <w:r>
        <w:rPr>
          <w:rFonts w:eastAsia="宋体"/>
          <w:lang w:val="en-US" w:eastAsia="zh-CN"/>
        </w:rPr>
        <w:t>A solution based on t</w:t>
      </w:r>
      <w:r>
        <w:rPr>
          <w:rFonts w:eastAsia="宋体"/>
          <w:lang w:eastAsia="zh-CN"/>
        </w:rPr>
        <w:t>he NFV-MANO approach for managing the placement of a particular NF in the cloud at the time of deployment has been described.</w:t>
      </w:r>
    </w:p>
    <w:p w14:paraId="1B8127AE">
      <w:pPr>
        <w:rPr>
          <w:rFonts w:eastAsia="宋体"/>
          <w:lang w:val="en-US" w:eastAsia="zh-CN"/>
        </w:rPr>
      </w:pPr>
    </w:p>
    <w:p w14:paraId="44DC03AB">
      <w:pPr>
        <w:rPr>
          <w:rFonts w:eastAsia="宋体"/>
          <w:lang w:val="en-US" w:eastAsia="zh-CN"/>
        </w:rPr>
      </w:pPr>
      <w:r>
        <w:rPr>
          <w:rFonts w:hint="eastAsia" w:eastAsia="宋体"/>
          <w:lang w:val="en-US" w:eastAsia="zh-CN"/>
        </w:rPr>
        <w:t xml:space="preserve">In addition, the definition </w:t>
      </w:r>
      <w:r>
        <w:rPr>
          <w:rFonts w:eastAsia="宋体"/>
          <w:lang w:val="en-US" w:eastAsia="zh-CN"/>
        </w:rPr>
        <w:t>of</w:t>
      </w:r>
      <w:r>
        <w:rPr>
          <w:rFonts w:hint="eastAsia" w:eastAsia="宋体"/>
          <w:lang w:val="en-US" w:eastAsia="zh-CN"/>
        </w:rPr>
        <w:t xml:space="preserve"> cloud</w:t>
      </w:r>
      <w:r>
        <w:rPr>
          <w:rFonts w:eastAsia="宋体"/>
          <w:lang w:val="en-US" w:eastAsia="zh-CN"/>
        </w:rPr>
        <w:t>-</w:t>
      </w:r>
      <w:r>
        <w:rPr>
          <w:rFonts w:hint="eastAsia" w:eastAsia="宋体"/>
          <w:lang w:val="en-US" w:eastAsia="zh-CN"/>
        </w:rPr>
        <w:t>native</w:t>
      </w:r>
      <w:r>
        <w:rPr>
          <w:rFonts w:eastAsia="宋体"/>
          <w:lang w:val="en-US" w:eastAsia="zh-CN"/>
        </w:rPr>
        <w:t>ness</w:t>
      </w:r>
      <w:r>
        <w:rPr>
          <w:rFonts w:hint="eastAsia" w:eastAsia="宋体"/>
          <w:lang w:val="en-US" w:eastAsia="zh-CN"/>
        </w:rPr>
        <w:t xml:space="preserve"> and its relevance to the 3GPP management system has been studied,  the term "cloud native VNF" and "NF deployment" used in the present document are closely related, but  there is no consensus on their definition and concepts used in the TR phase.</w:t>
      </w:r>
    </w:p>
    <w:p w14:paraId="47859F92">
      <w:pPr>
        <w:rPr>
          <w:rFonts w:eastAsia="宋体"/>
          <w:lang w:val="en-US" w:eastAsia="zh-CN"/>
        </w:rPr>
      </w:pPr>
    </w:p>
    <w:p w14:paraId="6C4785D1">
      <w:pPr>
        <w:rPr>
          <w:rFonts w:eastAsia="宋体"/>
          <w:lang w:val="en-US" w:eastAsia="zh-CN"/>
        </w:rPr>
      </w:pPr>
      <w:r>
        <w:rPr>
          <w:rFonts w:hint="eastAsia"/>
          <w:lang w:eastAsia="zh-CN"/>
        </w:rPr>
        <w:t>Therefore, it is necessary to complete the relevant standardization work in the new WID.</w:t>
      </w:r>
    </w:p>
    <w:p w14:paraId="0EE5A4B4">
      <w:pPr>
        <w:pStyle w:val="2"/>
        <w:keepLines/>
        <w:pBdr>
          <w:top w:val="single" w:color="auto" w:sz="12" w:space="3"/>
        </w:pBdr>
        <w:overflowPunct w:val="0"/>
        <w:autoSpaceDE w:val="0"/>
        <w:autoSpaceDN w:val="0"/>
        <w:adjustRightInd w:val="0"/>
        <w:spacing w:before="240" w:after="180"/>
        <w:ind w:left="1134" w:hanging="1134"/>
        <w:textAlignment w:val="baseline"/>
        <w:rPr>
          <w:lang w:val="en-US" w:eastAsia="zh-CN"/>
        </w:rPr>
      </w:pPr>
      <w:r>
        <w:rPr>
          <w:b w:val="0"/>
          <w:sz w:val="36"/>
          <w:lang w:eastAsia="ja-JP"/>
        </w:rPr>
        <w:t>4</w:t>
      </w:r>
      <w:r>
        <w:rPr>
          <w:b w:val="0"/>
          <w:sz w:val="36"/>
          <w:lang w:eastAsia="ja-JP"/>
        </w:rPr>
        <w:tab/>
      </w:r>
      <w:r>
        <w:rPr>
          <w:b w:val="0"/>
          <w:sz w:val="36"/>
          <w:lang w:eastAsia="ja-JP"/>
        </w:rPr>
        <w:t>Objective</w:t>
      </w:r>
      <w:r>
        <w:rPr>
          <w:lang w:val="en-US" w:eastAsia="zh-CN"/>
        </w:rPr>
        <w:t xml:space="preserve"> </w:t>
      </w:r>
    </w:p>
    <w:p w14:paraId="1AEC57F2">
      <w:pPr>
        <w:numPr>
          <w:ilvl w:val="255"/>
          <w:numId w:val="0"/>
        </w:numPr>
        <w:rPr>
          <w:lang w:val="en-US" w:eastAsia="zh-CN"/>
        </w:rPr>
      </w:pPr>
      <w:r>
        <w:rPr>
          <w:rFonts w:hint="eastAsia"/>
          <w:lang w:val="en-US" w:eastAsia="zh-CN"/>
        </w:rPr>
        <w:t xml:space="preserve">The WID is to enhance the </w:t>
      </w:r>
      <w:r>
        <w:t>cloud aspects of management and orchestration</w:t>
      </w:r>
      <w:r>
        <w:rPr>
          <w:rFonts w:hint="eastAsia"/>
          <w:lang w:val="en-US" w:eastAsia="zh-CN"/>
        </w:rPr>
        <w:t xml:space="preserve"> based on conclusions and recommendations documented in TR 28.869. </w:t>
      </w:r>
    </w:p>
    <w:p w14:paraId="4D90C781">
      <w:pPr>
        <w:numPr>
          <w:ilvl w:val="255"/>
          <w:numId w:val="0"/>
        </w:numPr>
        <w:rPr>
          <w:rFonts w:eastAsia="宋体"/>
          <w:b/>
          <w:bCs/>
          <w:lang w:val="en-US" w:eastAsia="zh-CN"/>
        </w:rPr>
      </w:pPr>
    </w:p>
    <w:p w14:paraId="46426E77">
      <w:pPr>
        <w:numPr>
          <w:ilvl w:val="255"/>
          <w:numId w:val="0"/>
        </w:numPr>
        <w:rPr>
          <w:rFonts w:eastAsia="宋体"/>
          <w:lang w:eastAsia="zh-CN"/>
        </w:rPr>
      </w:pPr>
      <w:r>
        <w:rPr>
          <w:rFonts w:hint="eastAsia" w:eastAsia="宋体"/>
          <w:lang w:val="en-US" w:eastAsia="zh-CN"/>
        </w:rPr>
        <w:t xml:space="preserve">Note: In the description below, no unique definition has been </w:t>
      </w:r>
      <w:r>
        <w:rPr>
          <w:rFonts w:eastAsia="宋体"/>
          <w:lang w:val="en-US" w:eastAsia="zh-CN"/>
        </w:rPr>
        <w:t xml:space="preserve">concluded for the use of the term cloud-native VNF and the use of the term </w:t>
      </w:r>
      <w:r>
        <w:rPr>
          <w:rFonts w:eastAsia="宋体"/>
          <w:lang w:eastAsia="zh-CN"/>
        </w:rPr>
        <w:t xml:space="preserve">NF Deployment </w:t>
      </w:r>
      <w:r>
        <w:rPr>
          <w:rFonts w:hint="eastAsia" w:eastAsia="宋体"/>
          <w:lang w:val="en-US" w:eastAsia="zh-CN"/>
        </w:rPr>
        <w:t>in the TR phase</w:t>
      </w:r>
      <w:r>
        <w:rPr>
          <w:rFonts w:eastAsia="宋体"/>
          <w:lang w:eastAsia="zh-CN"/>
        </w:rPr>
        <w:t xml:space="preserve">. The relationship between </w:t>
      </w:r>
      <w:r>
        <w:rPr>
          <w:rFonts w:eastAsia="宋体"/>
          <w:lang w:val="en-US" w:eastAsia="zh-CN"/>
        </w:rPr>
        <w:t>c</w:t>
      </w:r>
      <w:r>
        <w:rPr>
          <w:rFonts w:hint="eastAsia" w:eastAsia="宋体"/>
          <w:lang w:val="en-US" w:eastAsia="zh-CN"/>
        </w:rPr>
        <w:t>loud-native VNF/NFs</w:t>
      </w:r>
      <w:r>
        <w:rPr>
          <w:rFonts w:eastAsia="宋体"/>
          <w:lang w:val="en-US" w:eastAsia="zh-CN"/>
        </w:rPr>
        <w:t xml:space="preserve"> and NF </w:t>
      </w:r>
      <w:r>
        <w:rPr>
          <w:rFonts w:eastAsia="宋体"/>
          <w:lang w:eastAsia="zh-CN"/>
        </w:rPr>
        <w:t>Deployment instances will be further investigated in the WID.</w:t>
      </w:r>
    </w:p>
    <w:p w14:paraId="0AB0CFCF">
      <w:pPr>
        <w:numPr>
          <w:ilvl w:val="255"/>
          <w:numId w:val="0"/>
        </w:numPr>
        <w:rPr>
          <w:rFonts w:eastAsia="宋体"/>
          <w:lang w:eastAsia="zh-CN"/>
        </w:rPr>
      </w:pPr>
    </w:p>
    <w:p w14:paraId="7D949375">
      <w:pPr>
        <w:numPr>
          <w:ilvl w:val="255"/>
          <w:numId w:val="0"/>
        </w:numPr>
        <w:rPr>
          <w:rFonts w:eastAsia="宋体"/>
          <w:b/>
          <w:bCs/>
          <w:lang w:eastAsia="zh-CN"/>
        </w:rPr>
      </w:pPr>
      <w:r>
        <w:t>The objectives</w:t>
      </w:r>
      <w:r>
        <w:rPr>
          <w:rFonts w:hint="eastAsia" w:eastAsia="宋体"/>
          <w:lang w:val="en-US" w:eastAsia="zh-CN"/>
        </w:rPr>
        <w:t xml:space="preserve"> </w:t>
      </w:r>
      <w:r>
        <w:rPr>
          <w:lang w:val="en-US" w:eastAsia="zh-CN"/>
        </w:rPr>
        <w:t>include the following aspects</w:t>
      </w:r>
      <w:r>
        <w:rPr>
          <w:rFonts w:hint="eastAsia"/>
          <w:lang w:val="en-US" w:eastAsia="zh-CN"/>
        </w:rPr>
        <w:t xml:space="preserve"> for </w:t>
      </w:r>
      <w:bookmarkStart w:id="2" w:name="OLE_LINK7"/>
      <w:r>
        <w:rPr>
          <w:lang w:val="en-US" w:eastAsia="zh-CN"/>
        </w:rPr>
        <w:t xml:space="preserve">the </w:t>
      </w:r>
      <w:r>
        <w:rPr>
          <w:rFonts w:eastAsia="宋体"/>
          <w:iCs/>
          <w:lang w:val="en-US" w:eastAsia="zh-CN"/>
        </w:rPr>
        <w:t>3GPP management system</w:t>
      </w:r>
      <w:bookmarkEnd w:id="2"/>
      <w:r>
        <w:rPr>
          <w:lang w:val="en-US" w:eastAsia="zh-CN"/>
        </w:rPr>
        <w:t>:</w:t>
      </w:r>
    </w:p>
    <w:p w14:paraId="47E9F39A">
      <w:pPr>
        <w:numPr>
          <w:ilvl w:val="255"/>
          <w:numId w:val="0"/>
        </w:numPr>
        <w:rPr>
          <w:rFonts w:eastAsia="宋体"/>
          <w:lang w:val="en-US" w:eastAsia="zh-CN"/>
        </w:rPr>
      </w:pPr>
      <w:bookmarkStart w:id="3" w:name="OLE_LINK1"/>
      <w:r>
        <w:rPr>
          <w:rFonts w:hint="eastAsia" w:eastAsia="宋体"/>
          <w:lang w:val="en-US" w:eastAsia="zh-CN"/>
        </w:rPr>
        <w:t xml:space="preserve">WT-1: </w:t>
      </w:r>
      <w:bookmarkStart w:id="4" w:name="OLE_LINK16"/>
      <w:r>
        <w:rPr>
          <w:rFonts w:hint="eastAsia" w:eastAsia="宋体"/>
          <w:lang w:val="en-US" w:eastAsia="zh-CN"/>
        </w:rPr>
        <w:t>Specifying</w:t>
      </w:r>
      <w:bookmarkEnd w:id="4"/>
      <w:r>
        <w:rPr>
          <w:rFonts w:hint="eastAsia" w:eastAsia="宋体"/>
          <w:lang w:val="en-US" w:eastAsia="zh-CN"/>
        </w:rPr>
        <w:t xml:space="preserve"> terminology and concepts and architecture,</w:t>
      </w:r>
      <w:r>
        <w:rPr>
          <w:rFonts w:eastAsia="宋体"/>
          <w:lang w:val="en-US" w:eastAsia="zh-CN"/>
        </w:rPr>
        <w:t xml:space="preserve"> </w:t>
      </w:r>
      <w:r>
        <w:rPr>
          <w:rFonts w:hint="eastAsia" w:eastAsia="宋体"/>
          <w:lang w:val="en-US" w:eastAsia="zh-CN"/>
        </w:rPr>
        <w:t>for cloud</w:t>
      </w:r>
      <w:r>
        <w:rPr>
          <w:rFonts w:eastAsia="宋体"/>
          <w:lang w:val="en-US" w:eastAsia="zh-CN"/>
        </w:rPr>
        <w:t xml:space="preserve"> native operations</w:t>
      </w:r>
      <w:r>
        <w:rPr>
          <w:rFonts w:hint="eastAsia" w:eastAsia="宋体"/>
          <w:lang w:val="en-US" w:eastAsia="zh-CN"/>
        </w:rPr>
        <w:t xml:space="preserve"> </w:t>
      </w:r>
      <w:r>
        <w:rPr>
          <w:rFonts w:eastAsia="宋体"/>
          <w:lang w:val="en-US" w:eastAsia="zh-CN"/>
        </w:rPr>
        <w:t xml:space="preserve">and </w:t>
      </w:r>
      <w:r>
        <w:rPr>
          <w:rFonts w:hint="eastAsia" w:eastAsia="宋体"/>
          <w:lang w:val="en-US" w:eastAsia="zh-CN"/>
        </w:rPr>
        <w:t xml:space="preserve">aspects </w:t>
      </w:r>
      <w:r>
        <w:rPr>
          <w:rFonts w:eastAsia="宋体"/>
          <w:lang w:val="en-US" w:eastAsia="zh-CN"/>
        </w:rPr>
        <w:t xml:space="preserve">related to </w:t>
      </w:r>
      <w:r>
        <w:rPr>
          <w:rFonts w:hint="eastAsia" w:eastAsia="宋体"/>
          <w:lang w:val="en-US" w:eastAsia="zh-CN"/>
        </w:rPr>
        <w:t xml:space="preserve">management and orchestration, including but not limited to those related to </w:t>
      </w:r>
      <w:r>
        <w:rPr>
          <w:rFonts w:eastAsia="宋体"/>
          <w:lang w:val="en-US" w:eastAsia="zh-CN"/>
        </w:rPr>
        <w:t>c</w:t>
      </w:r>
      <w:r>
        <w:rPr>
          <w:rFonts w:hint="eastAsia" w:eastAsia="宋体"/>
          <w:lang w:val="en-US" w:eastAsia="zh-CN"/>
        </w:rPr>
        <w:t>loud-native VNF</w:t>
      </w:r>
      <w:r>
        <w:rPr>
          <w:rFonts w:eastAsia="宋体"/>
          <w:lang w:val="en-US" w:eastAsia="zh-CN"/>
        </w:rPr>
        <w:t>s</w:t>
      </w:r>
      <w:r>
        <w:rPr>
          <w:rFonts w:hint="eastAsia" w:eastAsia="宋体"/>
          <w:lang w:val="en-US" w:eastAsia="zh-CN"/>
        </w:rPr>
        <w:t xml:space="preserve">, </w:t>
      </w:r>
      <w:bookmarkStart w:id="5" w:name="OLE_LINK17"/>
      <w:r>
        <w:rPr>
          <w:rFonts w:hint="eastAsia" w:eastAsia="宋体"/>
          <w:lang w:val="en-US" w:eastAsia="zh-CN"/>
        </w:rPr>
        <w:t>cloud-native network functions</w:t>
      </w:r>
      <w:bookmarkEnd w:id="5"/>
      <w:r>
        <w:rPr>
          <w:rFonts w:hint="eastAsia" w:eastAsia="宋体"/>
          <w:lang w:val="en-US" w:eastAsia="zh-CN"/>
        </w:rPr>
        <w:t xml:space="preserve">, </w:t>
      </w:r>
      <w:r>
        <w:rPr>
          <w:rFonts w:eastAsia="宋体"/>
          <w:lang w:val="en-US" w:eastAsia="zh-CN"/>
        </w:rPr>
        <w:t xml:space="preserve">and </w:t>
      </w:r>
      <w:r>
        <w:rPr>
          <w:rFonts w:hint="eastAsia" w:eastAsia="宋体"/>
          <w:lang w:val="en-US" w:eastAsia="zh-CN"/>
        </w:rPr>
        <w:t>NF Deployment instance</w:t>
      </w:r>
      <w:r>
        <w:rPr>
          <w:rFonts w:eastAsia="宋体"/>
          <w:lang w:val="en-US" w:eastAsia="zh-CN"/>
        </w:rPr>
        <w:t>s</w:t>
      </w:r>
      <w:r>
        <w:rPr>
          <w:rFonts w:hint="eastAsia" w:eastAsia="宋体"/>
          <w:lang w:val="en-US" w:eastAsia="zh-CN"/>
        </w:rPr>
        <w:t xml:space="preserve">. </w:t>
      </w:r>
      <w:bookmarkEnd w:id="3"/>
    </w:p>
    <w:p w14:paraId="75333DC6">
      <w:pPr>
        <w:numPr>
          <w:ilvl w:val="255"/>
          <w:numId w:val="0"/>
        </w:numPr>
        <w:rPr>
          <w:lang w:val="en-US" w:eastAsia="zh-CN"/>
        </w:rPr>
      </w:pPr>
    </w:p>
    <w:p w14:paraId="49D5C52C">
      <w:pPr>
        <w:numPr>
          <w:ilvl w:val="255"/>
          <w:numId w:val="0"/>
        </w:numPr>
        <w:rPr>
          <w:rFonts w:eastAsia="宋体"/>
          <w:iCs/>
          <w:lang w:val="en-US" w:eastAsia="zh-CN"/>
        </w:rPr>
      </w:pPr>
      <w:r>
        <w:rPr>
          <w:rFonts w:hint="eastAsia" w:eastAsia="宋体"/>
          <w:lang w:val="en-US" w:eastAsia="zh-CN"/>
        </w:rPr>
        <w:t>WT-2: Specifying t</w:t>
      </w:r>
      <w:r>
        <w:rPr>
          <w:rFonts w:hint="eastAsia" w:eastAsia="宋体"/>
          <w:iCs/>
          <w:lang w:val="en-US" w:eastAsia="zh-CN"/>
        </w:rPr>
        <w:t xml:space="preserve">he enhancements for </w:t>
      </w:r>
      <w:r>
        <w:rPr>
          <w:rFonts w:eastAsia="宋体"/>
          <w:iCs/>
          <w:lang w:val="en-US" w:eastAsia="zh-CN"/>
        </w:rPr>
        <w:t>management</w:t>
      </w:r>
      <w:r>
        <w:rPr>
          <w:rFonts w:hint="eastAsia" w:eastAsia="宋体"/>
          <w:iCs/>
          <w:lang w:val="en-US" w:eastAsia="zh-CN"/>
        </w:rPr>
        <w:t xml:space="preserve"> of </w:t>
      </w:r>
      <w:r>
        <w:t>cloud-native VNFs/</w:t>
      </w:r>
      <w:r>
        <w:rPr>
          <w:rFonts w:eastAsia="宋体"/>
          <w:lang w:eastAsia="zh-CN"/>
        </w:rPr>
        <w:t>NF Deployment instances</w:t>
      </w:r>
      <w:r>
        <w:rPr>
          <w:rFonts w:hint="eastAsia" w:eastAsia="宋体"/>
          <w:iCs/>
          <w:lang w:val="en-US" w:eastAsia="zh-CN"/>
        </w:rPr>
        <w:t xml:space="preserve">, including aspects of configuration, upgrade, traffic </w:t>
      </w:r>
      <w:r>
        <w:rPr>
          <w:rFonts w:eastAsia="宋体"/>
          <w:iCs/>
          <w:lang w:val="en-US" w:eastAsia="zh-CN"/>
        </w:rPr>
        <w:t xml:space="preserve">management </w:t>
      </w:r>
      <w:r>
        <w:rPr>
          <w:rFonts w:hint="eastAsia" w:eastAsia="宋体"/>
          <w:iCs/>
          <w:lang w:val="en-US" w:eastAsia="zh-CN"/>
        </w:rPr>
        <w:t>and policy management.</w:t>
      </w:r>
    </w:p>
    <w:p w14:paraId="28FA06B9">
      <w:pPr>
        <w:numPr>
          <w:ilvl w:val="255"/>
          <w:numId w:val="0"/>
        </w:numPr>
        <w:rPr>
          <w:rFonts w:eastAsia="宋体"/>
          <w:lang w:val="en-US" w:eastAsia="zh-CN"/>
        </w:rPr>
      </w:pPr>
      <w:r>
        <w:rPr>
          <w:rFonts w:hint="eastAsia" w:eastAsia="宋体"/>
          <w:lang w:val="en-US" w:eastAsia="zh-CN"/>
        </w:rPr>
        <w:t xml:space="preserve"> </w:t>
      </w:r>
    </w:p>
    <w:p w14:paraId="1AE0A39A">
      <w:pPr>
        <w:numPr>
          <w:ilvl w:val="8"/>
          <w:numId w:val="0"/>
        </w:numPr>
        <w:ind w:left="200" w:leftChars="100"/>
        <w:rPr>
          <w:rFonts w:eastAsia="宋体"/>
          <w:lang w:val="en-US" w:eastAsia="zh-CN"/>
        </w:rPr>
      </w:pPr>
      <w:r>
        <w:rPr>
          <w:rFonts w:hint="eastAsia" w:eastAsia="宋体"/>
          <w:lang w:val="en-US" w:eastAsia="zh-CN"/>
        </w:rPr>
        <w:t xml:space="preserve">WT 2-1: </w:t>
      </w:r>
      <w:bookmarkStart w:id="6" w:name="OLE_LINK8"/>
      <w:r>
        <w:rPr>
          <w:rFonts w:hint="eastAsia" w:eastAsia="宋体"/>
          <w:lang w:val="en-US" w:eastAsia="zh-CN"/>
        </w:rPr>
        <w:t xml:space="preserve">Specifying enhancements to support the capability of </w:t>
      </w:r>
      <w:r>
        <w:rPr>
          <w:rFonts w:hint="eastAsia" w:eastAsia="宋体"/>
          <w:lang w:val="en-US" w:eastAsia="zh-CN" w:bidi="ar"/>
        </w:rPr>
        <w:t xml:space="preserve">managing </w:t>
      </w:r>
      <w:r>
        <w:t>cloud-native VNFs/</w:t>
      </w:r>
      <w:r>
        <w:rPr>
          <w:rFonts w:eastAsia="宋体"/>
          <w:lang w:eastAsia="zh-CN"/>
        </w:rPr>
        <w:t>NF Deployment instances</w:t>
      </w:r>
      <w:r>
        <w:rPr>
          <w:rFonts w:hint="eastAsia" w:eastAsia="宋体"/>
          <w:lang w:val="en-US" w:eastAsia="zh-CN"/>
        </w:rPr>
        <w:t xml:space="preserve"> </w:t>
      </w:r>
      <w:r>
        <w:rPr>
          <w:rFonts w:eastAsia="宋体"/>
          <w:lang w:val="en-US" w:eastAsia="zh-CN"/>
        </w:rPr>
        <w:t xml:space="preserve">OAM information </w:t>
      </w:r>
      <w:r>
        <w:rPr>
          <w:rFonts w:hint="eastAsia" w:eastAsia="宋体"/>
          <w:lang w:val="en-US" w:eastAsia="zh-CN"/>
        </w:rPr>
        <w:t xml:space="preserve">through interaction with </w:t>
      </w:r>
      <w:r>
        <w:rPr>
          <w:rFonts w:eastAsia="宋体"/>
          <w:lang w:val="en-US" w:eastAsia="zh-CN"/>
        </w:rPr>
        <w:t>VNF Generic OAM functions</w:t>
      </w:r>
      <w:r>
        <w:rPr>
          <w:rFonts w:hint="eastAsia" w:eastAsia="宋体"/>
          <w:lang w:val="en-US" w:eastAsia="zh-CN"/>
        </w:rPr>
        <w:t xml:space="preserve"> </w:t>
      </w:r>
      <w:r>
        <w:rPr>
          <w:rFonts w:eastAsia="宋体"/>
          <w:lang w:val="en-US" w:eastAsia="zh-CN"/>
        </w:rPr>
        <w:t>defined in ETSI GS NFV-IFA 049</w:t>
      </w:r>
      <w:r>
        <w:rPr>
          <w:rFonts w:hint="eastAsia" w:eastAsia="宋体"/>
          <w:lang w:val="en-US" w:eastAsia="zh-CN"/>
        </w:rPr>
        <w:t xml:space="preserve"> via the </w:t>
      </w:r>
      <w:r>
        <w:rPr>
          <w:rFonts w:eastAsia="宋体"/>
          <w:lang w:val="en-US" w:eastAsia="zh-CN"/>
        </w:rPr>
        <w:t>corresponding interfaces specified therein</w:t>
      </w:r>
      <w:r>
        <w:rPr>
          <w:rFonts w:hint="eastAsia" w:eastAsia="宋体"/>
          <w:lang w:val="en-US" w:eastAsia="zh-CN"/>
        </w:rPr>
        <w:t>.</w:t>
      </w:r>
      <w:bookmarkEnd w:id="6"/>
      <w:r>
        <w:rPr>
          <w:rFonts w:eastAsia="宋体"/>
          <w:lang w:val="en-US" w:eastAsia="zh-CN"/>
        </w:rPr>
        <w:t xml:space="preserve"> </w:t>
      </w:r>
    </w:p>
    <w:p w14:paraId="36F10DDB">
      <w:pPr>
        <w:numPr>
          <w:ilvl w:val="255"/>
          <w:numId w:val="0"/>
        </w:numPr>
        <w:rPr>
          <w:rFonts w:eastAsia="宋体"/>
          <w:lang w:val="en-US" w:eastAsia="zh-CN"/>
        </w:rPr>
      </w:pPr>
    </w:p>
    <w:p w14:paraId="58AD6C44">
      <w:pPr>
        <w:numPr>
          <w:ilvl w:val="255"/>
          <w:numId w:val="0"/>
        </w:numPr>
        <w:rPr>
          <w:rFonts w:eastAsia="宋体"/>
          <w:b/>
          <w:bCs/>
          <w:iCs/>
          <w:lang w:val="en-US" w:eastAsia="zh-CN"/>
        </w:rPr>
      </w:pPr>
      <w:r>
        <w:rPr>
          <w:rFonts w:hint="eastAsia" w:eastAsiaTheme="minorEastAsia"/>
          <w:lang w:eastAsia="zh-CN"/>
        </w:rPr>
        <w:t xml:space="preserve">WT </w:t>
      </w:r>
      <w:r>
        <w:rPr>
          <w:rFonts w:hint="eastAsia" w:eastAsiaTheme="minorEastAsia"/>
          <w:lang w:val="en-US" w:eastAsia="zh-CN"/>
        </w:rPr>
        <w:t>3</w:t>
      </w:r>
      <w:r>
        <w:rPr>
          <w:rFonts w:hint="eastAsia" w:eastAsiaTheme="minorEastAsia"/>
          <w:lang w:eastAsia="zh-CN"/>
        </w:rPr>
        <w:t xml:space="preserve">: </w:t>
      </w:r>
      <w:r>
        <w:rPr>
          <w:rFonts w:hint="eastAsia" w:eastAsia="宋体"/>
          <w:lang w:val="en-US" w:eastAsia="zh-CN"/>
        </w:rPr>
        <w:t>Specifying t</w:t>
      </w:r>
      <w:r>
        <w:rPr>
          <w:rFonts w:hint="eastAsia" w:eastAsia="宋体"/>
          <w:iCs/>
          <w:lang w:val="en-US" w:eastAsia="zh-CN"/>
        </w:rPr>
        <w:t xml:space="preserve">he enhancements </w:t>
      </w:r>
      <w:r>
        <w:rPr>
          <w:rFonts w:eastAsia="宋体"/>
          <w:iCs/>
          <w:lang w:val="en-US" w:eastAsia="zh-CN"/>
        </w:rPr>
        <w:t xml:space="preserve">for management of </w:t>
      </w:r>
      <w:r>
        <w:t>cloud-native VNFs/</w:t>
      </w:r>
      <w:r>
        <w:rPr>
          <w:rFonts w:eastAsia="宋体"/>
          <w:iCs/>
          <w:lang w:val="en-US" w:eastAsia="zh-CN"/>
        </w:rPr>
        <w:t>NF Deployment instance</w:t>
      </w:r>
      <w:r>
        <w:rPr>
          <w:rFonts w:hint="eastAsia" w:eastAsia="宋体"/>
          <w:iCs/>
          <w:lang w:val="en-US" w:eastAsia="zh-CN"/>
        </w:rPr>
        <w:t xml:space="preserve">s, including </w:t>
      </w:r>
      <w:r>
        <w:rPr>
          <w:rFonts w:eastAsia="宋体"/>
          <w:lang w:val="en-US" w:eastAsia="zh-CN"/>
        </w:rPr>
        <w:t>aspects of</w:t>
      </w:r>
      <w:r>
        <w:rPr>
          <w:rFonts w:hint="eastAsia" w:eastAsia="宋体"/>
          <w:lang w:val="en-US" w:eastAsia="zh-CN"/>
        </w:rPr>
        <w:t xml:space="preserve"> creation</w:t>
      </w:r>
      <w:r>
        <w:rPr>
          <w:rFonts w:eastAsia="宋体"/>
          <w:lang w:val="en-US" w:eastAsia="zh-CN"/>
        </w:rPr>
        <w:t>, modification</w:t>
      </w:r>
      <w:r>
        <w:rPr>
          <w:rFonts w:hint="eastAsia" w:eastAsia="宋体"/>
          <w:lang w:val="en-US" w:eastAsia="zh-CN"/>
        </w:rPr>
        <w:t>,</w:t>
      </w:r>
      <w:r>
        <w:rPr>
          <w:rFonts w:eastAsia="宋体"/>
          <w:lang w:val="en-US" w:eastAsia="zh-CN"/>
        </w:rPr>
        <w:t xml:space="preserve"> termination</w:t>
      </w:r>
      <w:r>
        <w:rPr>
          <w:rFonts w:hint="eastAsia" w:eastAsia="宋体"/>
          <w:lang w:val="en-US" w:eastAsia="zh-CN"/>
        </w:rPr>
        <w:t>, s</w:t>
      </w:r>
      <w:r>
        <w:rPr>
          <w:rFonts w:eastAsia="宋体"/>
          <w:lang w:val="en-US" w:eastAsia="zh-CN"/>
        </w:rPr>
        <w:t>caling</w:t>
      </w:r>
      <w:r>
        <w:rPr>
          <w:rFonts w:hint="eastAsia" w:eastAsia="宋体"/>
          <w:lang w:val="en-US" w:eastAsia="zh-CN"/>
        </w:rPr>
        <w:t xml:space="preserve"> </w:t>
      </w:r>
      <w:r>
        <w:rPr>
          <w:rFonts w:eastAsia="宋体"/>
          <w:lang w:val="en-US" w:eastAsia="zh-CN"/>
        </w:rPr>
        <w:t>management</w:t>
      </w:r>
      <w:r>
        <w:rPr>
          <w:rFonts w:hint="eastAsia" w:eastAsia="宋体"/>
          <w:lang w:val="en-US" w:eastAsia="zh-CN"/>
        </w:rPr>
        <w:t xml:space="preserve"> and </w:t>
      </w:r>
      <w:r>
        <w:rPr>
          <w:rFonts w:eastAsia="宋体"/>
          <w:lang w:val="en-US" w:eastAsia="zh-CN"/>
        </w:rPr>
        <w:t xml:space="preserve">the use of </w:t>
      </w:r>
      <w:r>
        <w:rPr>
          <w:rFonts w:hint="eastAsia" w:eastAsia="宋体"/>
          <w:lang w:val="en-US" w:eastAsia="zh-CN"/>
        </w:rPr>
        <w:t>declarative</w:t>
      </w:r>
      <w:r>
        <w:rPr>
          <w:rFonts w:eastAsia="宋体"/>
          <w:lang w:val="en-US" w:eastAsia="zh-CN"/>
        </w:rPr>
        <w:t xml:space="preserve"> descriptors to convey deployment requirements</w:t>
      </w:r>
      <w:r>
        <w:rPr>
          <w:rFonts w:hint="eastAsia" w:eastAsia="宋体"/>
          <w:lang w:val="en-US" w:eastAsia="zh-CN"/>
        </w:rPr>
        <w:t>.</w:t>
      </w:r>
    </w:p>
    <w:p w14:paraId="101F4127">
      <w:pPr>
        <w:numPr>
          <w:ilvl w:val="255"/>
          <w:numId w:val="0"/>
        </w:numPr>
        <w:rPr>
          <w:rFonts w:eastAsia="宋体"/>
          <w:lang w:val="en-US" w:eastAsia="zh-CN"/>
        </w:rPr>
      </w:pPr>
    </w:p>
    <w:p w14:paraId="1A131D7B">
      <w:pPr>
        <w:numPr>
          <w:ilvl w:val="8"/>
          <w:numId w:val="0"/>
        </w:numPr>
        <w:ind w:left="200" w:leftChars="100"/>
        <w:rPr>
          <w:rStyle w:val="18"/>
          <w:rFonts w:ascii="Arial" w:hAnsi="Arial" w:eastAsia="宋体"/>
          <w:lang w:val="en-US" w:eastAsia="zh-CN"/>
        </w:rPr>
      </w:pPr>
      <w:r>
        <w:rPr>
          <w:rFonts w:hint="eastAsia" w:eastAsia="宋体"/>
          <w:lang w:val="en-US" w:eastAsia="zh-CN"/>
        </w:rPr>
        <w:t>WT 3-1: Specifying enhancement</w:t>
      </w:r>
      <w:r>
        <w:rPr>
          <w:rFonts w:eastAsia="宋体"/>
          <w:lang w:val="en-US" w:eastAsia="zh-CN"/>
        </w:rPr>
        <w:t xml:space="preserve">s </w:t>
      </w:r>
      <w:r>
        <w:rPr>
          <w:rFonts w:hint="eastAsia" w:eastAsia="宋体"/>
          <w:lang w:val="en-US" w:eastAsia="zh-CN"/>
        </w:rPr>
        <w:t xml:space="preserve">to support the capability </w:t>
      </w:r>
      <w:r>
        <w:rPr>
          <w:rFonts w:eastAsia="宋体"/>
          <w:lang w:val="en-US" w:eastAsia="zh-CN"/>
        </w:rPr>
        <w:t>to perform</w:t>
      </w:r>
      <w:r>
        <w:rPr>
          <w:rFonts w:hint="eastAsia" w:eastAsia="宋体"/>
          <w:lang w:val="en-US" w:eastAsia="zh-CN"/>
        </w:rPr>
        <w:t xml:space="preserve"> </w:t>
      </w:r>
      <w:r>
        <w:rPr>
          <w:rFonts w:eastAsia="宋体"/>
          <w:lang w:val="en-US" w:eastAsia="zh-CN"/>
        </w:rPr>
        <w:t>LCM</w:t>
      </w:r>
      <w:r>
        <w:rPr>
          <w:rFonts w:hint="eastAsia" w:eastAsia="宋体"/>
          <w:lang w:val="en-US" w:eastAsia="zh-CN" w:bidi="ar"/>
        </w:rPr>
        <w:t xml:space="preserve"> </w:t>
      </w:r>
      <w:r>
        <w:rPr>
          <w:rFonts w:eastAsia="宋体"/>
          <w:lang w:val="en-US" w:eastAsia="zh-CN" w:bidi="ar"/>
        </w:rPr>
        <w:t>operations for</w:t>
      </w:r>
      <w:r>
        <w:rPr>
          <w:rFonts w:hint="eastAsia" w:eastAsia="宋体"/>
          <w:lang w:val="en-US" w:eastAsia="zh-CN" w:bidi="ar"/>
        </w:rPr>
        <w:t xml:space="preserve"> </w:t>
      </w:r>
      <w:r>
        <w:t>cloud-native VNFs/NF Deployment instances</w:t>
      </w:r>
      <w:r>
        <w:rPr>
          <w:rFonts w:hint="eastAsia" w:eastAsia="宋体"/>
          <w:lang w:val="en-US" w:eastAsia="zh-CN"/>
        </w:rPr>
        <w:t xml:space="preserve"> via </w:t>
      </w:r>
      <w:r>
        <w:rPr>
          <w:rFonts w:eastAsia="宋体"/>
          <w:lang w:val="en-US" w:eastAsia="zh-CN"/>
        </w:rPr>
        <w:t>a</w:t>
      </w:r>
      <w:r>
        <w:t xml:space="preserve"> new deployment management reference point</w:t>
      </w:r>
      <w:r>
        <w:rPr>
          <w:rFonts w:hint="eastAsia" w:eastAsia="宋体"/>
          <w:lang w:val="en-US" w:eastAsia="zh-CN"/>
        </w:rPr>
        <w:t xml:space="preserve">, which </w:t>
      </w:r>
      <w:r>
        <w:rPr>
          <w:lang w:val="en-US"/>
        </w:rPr>
        <w:t>is flexible to support use of ETSI NFV MANO, but not limited to it</w:t>
      </w:r>
      <w:r>
        <w:rPr>
          <w:rFonts w:hint="eastAsia" w:eastAsia="宋体"/>
          <w:lang w:val="en-US" w:eastAsia="zh-CN"/>
        </w:rPr>
        <w:t>.</w:t>
      </w:r>
    </w:p>
    <w:p w14:paraId="5100A5B7">
      <w:pPr>
        <w:numPr>
          <w:ilvl w:val="255"/>
          <w:numId w:val="0"/>
        </w:numPr>
        <w:rPr>
          <w:rFonts w:eastAsia="宋体"/>
          <w:lang w:val="en-US" w:eastAsia="zh-CN"/>
        </w:rPr>
      </w:pPr>
    </w:p>
    <w:p w14:paraId="20E2409D">
      <w:pPr>
        <w:numPr>
          <w:ilvl w:val="8"/>
          <w:numId w:val="0"/>
        </w:numPr>
        <w:ind w:left="200" w:leftChars="100"/>
        <w:rPr>
          <w:rFonts w:eastAsia="宋体"/>
          <w:lang w:val="en-US" w:eastAsia="zh-CN"/>
        </w:rPr>
      </w:pPr>
      <w:r>
        <w:rPr>
          <w:rFonts w:hint="eastAsia" w:eastAsia="宋体"/>
          <w:lang w:val="en-US" w:eastAsia="zh-CN"/>
        </w:rPr>
        <w:t xml:space="preserve">WT 3-2: </w:t>
      </w:r>
      <w:r>
        <w:rPr>
          <w:rFonts w:eastAsia="宋体"/>
          <w:lang w:val="en-US" w:eastAsia="zh-CN"/>
        </w:rPr>
        <w:t>Specifying enhancement to support the capability of management data streaming for cloud-native NFs</w:t>
      </w:r>
      <w:r>
        <w:rPr>
          <w:rFonts w:hint="eastAsia" w:eastAsia="宋体"/>
          <w:lang w:val="en-US" w:eastAsia="zh-CN"/>
        </w:rPr>
        <w:t>/</w:t>
      </w:r>
      <w:r>
        <w:rPr>
          <w:rFonts w:eastAsia="宋体"/>
          <w:lang w:val="en-US" w:eastAsia="zh-CN"/>
        </w:rPr>
        <w:t xml:space="preserve"> </w:t>
      </w:r>
      <w:r>
        <w:rPr>
          <w:rFonts w:eastAsia="宋体"/>
          <w:iCs/>
          <w:lang w:val="en-US" w:eastAsia="zh-CN"/>
        </w:rPr>
        <w:t>NF Deployment instance</w:t>
      </w:r>
      <w:r>
        <w:rPr>
          <w:rFonts w:hint="eastAsia" w:eastAsia="宋体"/>
          <w:iCs/>
          <w:lang w:val="en-US" w:eastAsia="zh-CN"/>
        </w:rPr>
        <w:t>s</w:t>
      </w:r>
      <w:r>
        <w:rPr>
          <w:rFonts w:eastAsia="宋体"/>
          <w:lang w:val="en-US" w:eastAsia="zh-CN"/>
        </w:rPr>
        <w:t xml:space="preserve"> based on message bus technology.</w:t>
      </w:r>
    </w:p>
    <w:p w14:paraId="22D5866D"/>
    <w:p w14:paraId="7492D0B2">
      <w:pPr>
        <w:pStyle w:val="3"/>
      </w:pPr>
      <w:r>
        <w:t>TU estimates and dependencies</w:t>
      </w:r>
    </w:p>
    <w:p w14:paraId="3F5D3958"/>
    <w:tbl>
      <w:tblPr>
        <w:tblStyle w:val="15"/>
        <w:tblW w:w="694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559"/>
        <w:gridCol w:w="1843"/>
        <w:gridCol w:w="1842"/>
      </w:tblGrid>
      <w:tr w14:paraId="057C2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701" w:type="dxa"/>
            <w:shd w:val="clear" w:color="auto" w:fill="auto"/>
          </w:tcPr>
          <w:p w14:paraId="766DC865">
            <w:pPr>
              <w:rPr>
                <w:b/>
                <w:bCs/>
              </w:rPr>
            </w:pPr>
            <w:r>
              <w:rPr>
                <w:b/>
                <w:bCs/>
              </w:rPr>
              <w:t>Work Task ID</w:t>
            </w:r>
          </w:p>
        </w:tc>
        <w:tc>
          <w:tcPr>
            <w:tcW w:w="1559" w:type="dxa"/>
          </w:tcPr>
          <w:p w14:paraId="022E876B">
            <w:pPr>
              <w:rPr>
                <w:b/>
                <w:bCs/>
              </w:rPr>
            </w:pPr>
            <w:r>
              <w:rPr>
                <w:b/>
                <w:bCs/>
              </w:rPr>
              <w:t>TU Estimate</w:t>
            </w:r>
          </w:p>
          <w:p w14:paraId="4E0DC194">
            <w:pPr>
              <w:rPr>
                <w:b/>
                <w:bCs/>
              </w:rPr>
            </w:pPr>
            <w:r>
              <w:rPr>
                <w:b/>
                <w:bCs/>
              </w:rPr>
              <w:t>(Normative)</w:t>
            </w:r>
          </w:p>
        </w:tc>
        <w:tc>
          <w:tcPr>
            <w:tcW w:w="1843" w:type="dxa"/>
          </w:tcPr>
          <w:p w14:paraId="00C81CF8">
            <w:pPr>
              <w:rPr>
                <w:b/>
                <w:bCs/>
              </w:rPr>
            </w:pPr>
            <w:r>
              <w:rPr>
                <w:b/>
                <w:bCs/>
              </w:rPr>
              <w:t>RAN Dependency</w:t>
            </w:r>
          </w:p>
          <w:p w14:paraId="180C042D">
            <w:pPr>
              <w:rPr>
                <w:b/>
                <w:bCs/>
              </w:rPr>
            </w:pPr>
            <w:r>
              <w:rPr>
                <w:b/>
                <w:bCs/>
              </w:rPr>
              <w:t xml:space="preserve">(Yes/No/Maybe) </w:t>
            </w:r>
          </w:p>
        </w:tc>
        <w:tc>
          <w:tcPr>
            <w:tcW w:w="1842" w:type="dxa"/>
          </w:tcPr>
          <w:p w14:paraId="20090107">
            <w:pPr>
              <w:rPr>
                <w:b/>
                <w:bCs/>
              </w:rPr>
            </w:pPr>
            <w:r>
              <w:rPr>
                <w:b/>
                <w:bCs/>
              </w:rPr>
              <w:t>SA Dependency</w:t>
            </w:r>
          </w:p>
          <w:p w14:paraId="14791DE2">
            <w:pPr>
              <w:rPr>
                <w:b/>
                <w:bCs/>
              </w:rPr>
            </w:pPr>
            <w:r>
              <w:rPr>
                <w:b/>
                <w:bCs/>
              </w:rPr>
              <w:t>(Yes/No/Maybe)</w:t>
            </w:r>
          </w:p>
        </w:tc>
      </w:tr>
      <w:tr w14:paraId="0DAB9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14:paraId="073DC88C">
            <w:r>
              <w:t>WT-1</w:t>
            </w:r>
          </w:p>
        </w:tc>
        <w:tc>
          <w:tcPr>
            <w:tcW w:w="1559" w:type="dxa"/>
          </w:tcPr>
          <w:p w14:paraId="793BAF85">
            <w:r>
              <w:rPr>
                <w:rFonts w:eastAsia="宋体"/>
                <w:lang w:val="en-US" w:eastAsia="zh-CN"/>
              </w:rPr>
              <w:t>0.2</w:t>
            </w:r>
          </w:p>
        </w:tc>
        <w:tc>
          <w:tcPr>
            <w:tcW w:w="1843" w:type="dxa"/>
          </w:tcPr>
          <w:p w14:paraId="01C98019">
            <w:r>
              <w:t>No</w:t>
            </w:r>
          </w:p>
        </w:tc>
        <w:tc>
          <w:tcPr>
            <w:tcW w:w="1842" w:type="dxa"/>
          </w:tcPr>
          <w:p w14:paraId="2A43FF72">
            <w:r>
              <w:t>No</w:t>
            </w:r>
          </w:p>
        </w:tc>
      </w:tr>
      <w:tr w14:paraId="39079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14:paraId="0A41CE5A">
            <w:r>
              <w:t>WT-2</w:t>
            </w:r>
          </w:p>
        </w:tc>
        <w:tc>
          <w:tcPr>
            <w:tcW w:w="1559" w:type="dxa"/>
          </w:tcPr>
          <w:p w14:paraId="2C468E59">
            <w:pPr>
              <w:rPr>
                <w:rFonts w:eastAsia="宋体"/>
                <w:lang w:val="en-US" w:eastAsia="zh-CN"/>
              </w:rPr>
            </w:pPr>
            <w:r>
              <w:t>1</w:t>
            </w:r>
            <w:r>
              <w:rPr>
                <w:rFonts w:hint="eastAsia" w:eastAsia="宋体"/>
                <w:lang w:val="en-US" w:eastAsia="zh-CN"/>
              </w:rPr>
              <w:t>.2</w:t>
            </w:r>
          </w:p>
        </w:tc>
        <w:tc>
          <w:tcPr>
            <w:tcW w:w="1843" w:type="dxa"/>
          </w:tcPr>
          <w:p w14:paraId="29CFA98D">
            <w:r>
              <w:t>No</w:t>
            </w:r>
          </w:p>
        </w:tc>
        <w:tc>
          <w:tcPr>
            <w:tcW w:w="1842" w:type="dxa"/>
          </w:tcPr>
          <w:p w14:paraId="1EA84910">
            <w:r>
              <w:t>No</w:t>
            </w:r>
          </w:p>
        </w:tc>
      </w:tr>
      <w:tr w14:paraId="592E3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14:paraId="7472CD00">
            <w:r>
              <w:t>WT-3</w:t>
            </w:r>
          </w:p>
        </w:tc>
        <w:tc>
          <w:tcPr>
            <w:tcW w:w="1559" w:type="dxa"/>
          </w:tcPr>
          <w:p w14:paraId="7D8EE58D">
            <w:r>
              <w:rPr>
                <w:rFonts w:hint="eastAsia" w:eastAsia="宋体"/>
                <w:lang w:val="en-US" w:eastAsia="zh-CN"/>
              </w:rPr>
              <w:t>1</w:t>
            </w:r>
            <w:r>
              <w:rPr>
                <w:rFonts w:eastAsia="宋体"/>
                <w:lang w:val="en-US" w:eastAsia="zh-CN"/>
              </w:rPr>
              <w:t>.</w:t>
            </w:r>
            <w:r>
              <w:rPr>
                <w:rFonts w:hint="eastAsia" w:eastAsia="宋体"/>
                <w:lang w:val="en-US" w:eastAsia="zh-CN"/>
              </w:rPr>
              <w:t>6</w:t>
            </w:r>
          </w:p>
        </w:tc>
        <w:tc>
          <w:tcPr>
            <w:tcW w:w="1843" w:type="dxa"/>
          </w:tcPr>
          <w:p w14:paraId="6E09477C">
            <w:r>
              <w:t>No</w:t>
            </w:r>
          </w:p>
        </w:tc>
        <w:tc>
          <w:tcPr>
            <w:tcW w:w="1842" w:type="dxa"/>
          </w:tcPr>
          <w:p w14:paraId="75084439">
            <w:r>
              <w:t>No</w:t>
            </w:r>
          </w:p>
        </w:tc>
      </w:tr>
    </w:tbl>
    <w:p w14:paraId="5D5B8BF6"/>
    <w:p w14:paraId="1C153AC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757CB909"/>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347"/>
        <w:gridCol w:w="1055"/>
        <w:gridCol w:w="1074"/>
        <w:gridCol w:w="2186"/>
      </w:tblGrid>
      <w:tr w14:paraId="67CEC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4CD378D1">
            <w:pPr>
              <w:pStyle w:val="28"/>
            </w:pPr>
            <w:r>
              <w:t>New specifications {One line per specification. Create/delete lines as needed}</w:t>
            </w:r>
          </w:p>
        </w:tc>
      </w:tr>
      <w:tr w14:paraId="039E6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03EDF439">
            <w:pPr>
              <w:pStyle w:val="28"/>
            </w:pPr>
            <w:r>
              <w:t xml:space="preserve">Type </w:t>
            </w:r>
          </w:p>
        </w:tc>
        <w:tc>
          <w:tcPr>
            <w:tcW w:w="1134" w:type="dxa"/>
            <w:shd w:val="clear" w:color="auto" w:fill="D9D9D9"/>
            <w:tcMar>
              <w:left w:w="57" w:type="dxa"/>
              <w:right w:w="57" w:type="dxa"/>
            </w:tcMar>
          </w:tcPr>
          <w:p w14:paraId="5ABED525">
            <w:pPr>
              <w:pStyle w:val="28"/>
            </w:pPr>
            <w:r>
              <w:t>TS/TR number</w:t>
            </w:r>
          </w:p>
        </w:tc>
        <w:tc>
          <w:tcPr>
            <w:tcW w:w="2347" w:type="dxa"/>
            <w:shd w:val="clear" w:color="auto" w:fill="D9D9D9"/>
            <w:tcMar>
              <w:left w:w="57" w:type="dxa"/>
              <w:right w:w="57" w:type="dxa"/>
            </w:tcMar>
          </w:tcPr>
          <w:p w14:paraId="6603CD3F">
            <w:pPr>
              <w:pStyle w:val="28"/>
            </w:pPr>
            <w:r>
              <w:t>Title</w:t>
            </w:r>
          </w:p>
        </w:tc>
        <w:tc>
          <w:tcPr>
            <w:tcW w:w="1055" w:type="dxa"/>
            <w:shd w:val="clear" w:color="auto" w:fill="D9D9D9"/>
            <w:tcMar>
              <w:left w:w="57" w:type="dxa"/>
              <w:right w:w="57" w:type="dxa"/>
            </w:tcMar>
          </w:tcPr>
          <w:p w14:paraId="3AE5DDCD">
            <w:pPr>
              <w:pStyle w:val="28"/>
            </w:pPr>
            <w:r>
              <w:t xml:space="preserve">For info </w:t>
            </w:r>
            <w:r>
              <w:br w:type="textWrapping"/>
            </w:r>
            <w:r>
              <w:t xml:space="preserve">at TSG# </w:t>
            </w:r>
          </w:p>
        </w:tc>
        <w:tc>
          <w:tcPr>
            <w:tcW w:w="1074" w:type="dxa"/>
            <w:shd w:val="clear" w:color="auto" w:fill="D9D9D9"/>
            <w:tcMar>
              <w:left w:w="57" w:type="dxa"/>
              <w:right w:w="57" w:type="dxa"/>
            </w:tcMar>
          </w:tcPr>
          <w:p w14:paraId="1F7ADB3D">
            <w:pPr>
              <w:pStyle w:val="28"/>
            </w:pPr>
            <w:r>
              <w:t>For approval at TSG#</w:t>
            </w:r>
          </w:p>
        </w:tc>
        <w:tc>
          <w:tcPr>
            <w:tcW w:w="2186" w:type="dxa"/>
            <w:shd w:val="clear" w:color="auto" w:fill="D9D9D9"/>
            <w:tcMar>
              <w:left w:w="57" w:type="dxa"/>
              <w:right w:w="57" w:type="dxa"/>
            </w:tcMar>
          </w:tcPr>
          <w:p w14:paraId="47397DDD">
            <w:pPr>
              <w:pStyle w:val="28"/>
            </w:pPr>
            <w:r>
              <w:t>Rapporteur</w:t>
            </w:r>
          </w:p>
        </w:tc>
      </w:tr>
      <w:tr w14:paraId="2128C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6E8DB3F5">
            <w:pPr>
              <w:pStyle w:val="25"/>
              <w:spacing w:after="0"/>
              <w:rPr>
                <w:i w:val="0"/>
                <w:iCs/>
              </w:rPr>
            </w:pPr>
          </w:p>
        </w:tc>
        <w:tc>
          <w:tcPr>
            <w:tcW w:w="1134" w:type="dxa"/>
          </w:tcPr>
          <w:p w14:paraId="4D3DB3A4">
            <w:pPr>
              <w:pStyle w:val="25"/>
              <w:spacing w:after="0"/>
              <w:rPr>
                <w:i w:val="0"/>
                <w:iCs/>
                <w:lang w:val="en-US"/>
              </w:rPr>
            </w:pPr>
            <w:r>
              <w:rPr>
                <w:rFonts w:hint="eastAsia" w:eastAsia="宋体"/>
                <w:i w:val="0"/>
                <w:iCs/>
                <w:lang w:val="en-US" w:eastAsia="zh-CN"/>
              </w:rPr>
              <w:t>TS.XX.XXX?</w:t>
            </w:r>
          </w:p>
        </w:tc>
        <w:tc>
          <w:tcPr>
            <w:tcW w:w="2347" w:type="dxa"/>
          </w:tcPr>
          <w:p w14:paraId="53217B4F">
            <w:pPr>
              <w:pStyle w:val="25"/>
              <w:spacing w:after="0"/>
              <w:rPr>
                <w:i w:val="0"/>
                <w:iCs/>
              </w:rPr>
            </w:pPr>
            <w:r>
              <w:rPr>
                <w:rFonts w:hint="eastAsia"/>
                <w:i w:val="0"/>
                <w:iCs/>
              </w:rPr>
              <w:t>cloud aspects of management and orchestration</w:t>
            </w:r>
            <w:r>
              <w:rPr>
                <w:rFonts w:hint="eastAsia" w:eastAsia="宋体"/>
                <w:i w:val="0"/>
                <w:iCs/>
                <w:lang w:val="en-US" w:eastAsia="zh-CN"/>
              </w:rPr>
              <w:t>?</w:t>
            </w:r>
          </w:p>
        </w:tc>
        <w:tc>
          <w:tcPr>
            <w:tcW w:w="1055" w:type="dxa"/>
          </w:tcPr>
          <w:p w14:paraId="468472A5">
            <w:pPr>
              <w:pStyle w:val="25"/>
              <w:spacing w:after="0"/>
              <w:rPr>
                <w:i w:val="0"/>
                <w:iCs/>
              </w:rPr>
            </w:pPr>
            <w:r>
              <w:rPr>
                <w:i w:val="0"/>
                <w:iCs/>
              </w:rPr>
              <w:t>SA#108</w:t>
            </w:r>
          </w:p>
        </w:tc>
        <w:tc>
          <w:tcPr>
            <w:tcW w:w="1074" w:type="dxa"/>
          </w:tcPr>
          <w:p w14:paraId="622F01D3">
            <w:pPr>
              <w:pStyle w:val="25"/>
              <w:spacing w:after="0"/>
              <w:rPr>
                <w:i w:val="0"/>
                <w:iCs/>
              </w:rPr>
            </w:pPr>
            <w:r>
              <w:rPr>
                <w:i w:val="0"/>
                <w:iCs/>
              </w:rPr>
              <w:t>SA#109</w:t>
            </w:r>
          </w:p>
        </w:tc>
        <w:tc>
          <w:tcPr>
            <w:tcW w:w="2186" w:type="dxa"/>
          </w:tcPr>
          <w:p w14:paraId="4065EC58">
            <w:pPr>
              <w:pStyle w:val="25"/>
              <w:spacing w:after="0"/>
              <w:rPr>
                <w:i w:val="0"/>
                <w:iCs/>
              </w:rPr>
            </w:pPr>
          </w:p>
        </w:tc>
      </w:tr>
    </w:tbl>
    <w:p w14:paraId="354D5B75">
      <w:pPr>
        <w:pStyle w:val="30"/>
      </w:pPr>
    </w:p>
    <w:p w14:paraId="73BA64E7"/>
    <w:tbl>
      <w:tblPr>
        <w:tblStyle w:val="15"/>
        <w:tblW w:w="0" w:type="auto"/>
        <w:jc w:val="center"/>
        <w:tblLayout w:type="fixed"/>
        <w:tblCellMar>
          <w:top w:w="0" w:type="dxa"/>
          <w:left w:w="108" w:type="dxa"/>
          <w:bottom w:w="0" w:type="dxa"/>
          <w:right w:w="108" w:type="dxa"/>
        </w:tblCellMar>
      </w:tblPr>
      <w:tblGrid>
        <w:gridCol w:w="1598"/>
        <w:gridCol w:w="4191"/>
        <w:gridCol w:w="1417"/>
        <w:gridCol w:w="2101"/>
      </w:tblGrid>
      <w:tr w14:paraId="1FE4D91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50BDE41C">
            <w:pPr>
              <w:pStyle w:val="28"/>
            </w:pPr>
            <w:r>
              <w:t>Impacted existing TS/TR {One line per specification. Create/delete lines as needed}</w:t>
            </w:r>
          </w:p>
        </w:tc>
      </w:tr>
      <w:tr w14:paraId="790B8063">
        <w:tblPrEx>
          <w:tblCellMar>
            <w:top w:w="0" w:type="dxa"/>
            <w:left w:w="108" w:type="dxa"/>
            <w:bottom w:w="0" w:type="dxa"/>
            <w:right w:w="108" w:type="dxa"/>
          </w:tblCellMar>
        </w:tblPrEx>
        <w:trPr>
          <w:cantSplit/>
          <w:jc w:val="center"/>
        </w:trPr>
        <w:tc>
          <w:tcPr>
            <w:tcW w:w="1598" w:type="dxa"/>
            <w:tcBorders>
              <w:top w:val="single" w:color="auto" w:sz="4" w:space="0"/>
              <w:left w:val="single" w:color="auto" w:sz="4" w:space="0"/>
              <w:bottom w:val="single" w:color="auto" w:sz="4" w:space="0"/>
              <w:right w:val="single" w:color="auto" w:sz="4" w:space="0"/>
            </w:tcBorders>
            <w:shd w:val="clear" w:color="auto" w:fill="E0E0E0"/>
          </w:tcPr>
          <w:p w14:paraId="296A30A9">
            <w:pPr>
              <w:pStyle w:val="28"/>
            </w:pPr>
            <w:r>
              <w:t>TS/TR No.</w:t>
            </w:r>
          </w:p>
        </w:tc>
        <w:tc>
          <w:tcPr>
            <w:tcW w:w="4191" w:type="dxa"/>
            <w:tcBorders>
              <w:top w:val="single" w:color="auto" w:sz="4" w:space="0"/>
              <w:left w:val="single" w:color="auto" w:sz="4" w:space="0"/>
              <w:bottom w:val="single" w:color="auto" w:sz="4" w:space="0"/>
              <w:right w:val="single" w:color="auto" w:sz="4" w:space="0"/>
            </w:tcBorders>
            <w:shd w:val="clear" w:color="auto" w:fill="E0E0E0"/>
          </w:tcPr>
          <w:p w14:paraId="69D99849">
            <w:pPr>
              <w:pStyle w:val="28"/>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5BB42101">
            <w:pPr>
              <w:pStyle w:val="28"/>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28630034">
            <w:pPr>
              <w:pStyle w:val="28"/>
            </w:pPr>
            <w:r>
              <w:t>Remarks</w:t>
            </w:r>
          </w:p>
        </w:tc>
      </w:tr>
      <w:tr w14:paraId="66CEFAC4">
        <w:tblPrEx>
          <w:tblCellMar>
            <w:top w:w="0" w:type="dxa"/>
            <w:left w:w="108" w:type="dxa"/>
            <w:bottom w:w="0" w:type="dxa"/>
            <w:right w:w="108" w:type="dxa"/>
          </w:tblCellMar>
        </w:tblPrEx>
        <w:trPr>
          <w:cantSplit/>
          <w:jc w:val="center"/>
        </w:trPr>
        <w:tc>
          <w:tcPr>
            <w:tcW w:w="1598" w:type="dxa"/>
            <w:tcBorders>
              <w:top w:val="single" w:color="auto" w:sz="4" w:space="0"/>
              <w:left w:val="single" w:color="auto" w:sz="4" w:space="0"/>
              <w:bottom w:val="single" w:color="auto" w:sz="4" w:space="0"/>
              <w:right w:val="single" w:color="auto" w:sz="4" w:space="0"/>
            </w:tcBorders>
          </w:tcPr>
          <w:p w14:paraId="5EDCF316">
            <w:pPr>
              <w:pStyle w:val="27"/>
              <w:rPr>
                <w:rFonts w:eastAsia="宋体" w:cs="Arial"/>
                <w:szCs w:val="18"/>
                <w:lang w:val="en-US" w:eastAsia="zh-CN"/>
              </w:rPr>
            </w:pPr>
            <w:r>
              <w:rPr>
                <w:rFonts w:hint="eastAsia" w:eastAsia="宋体" w:cs="Arial"/>
                <w:szCs w:val="18"/>
                <w:lang w:val="en-US" w:eastAsia="zh-CN"/>
              </w:rPr>
              <w:t>TS 28.500</w:t>
            </w:r>
          </w:p>
        </w:tc>
        <w:tc>
          <w:tcPr>
            <w:tcW w:w="4191" w:type="dxa"/>
            <w:tcBorders>
              <w:top w:val="single" w:color="auto" w:sz="4" w:space="0"/>
              <w:left w:val="single" w:color="auto" w:sz="4" w:space="0"/>
              <w:bottom w:val="single" w:color="auto" w:sz="4" w:space="0"/>
              <w:right w:val="single" w:color="auto" w:sz="4" w:space="0"/>
            </w:tcBorders>
          </w:tcPr>
          <w:p w14:paraId="1B536656">
            <w:pPr>
              <w:pStyle w:val="27"/>
              <w:rPr>
                <w:lang w:val="en-US"/>
              </w:rPr>
            </w:pPr>
            <w:r>
              <w:rPr>
                <w:rFonts w:hint="eastAsia"/>
                <w:lang w:val="en-US"/>
              </w:rPr>
              <w:t xml:space="preserve">Add </w:t>
            </w:r>
            <w:r>
              <w:rPr>
                <w:rFonts w:hint="eastAsia"/>
                <w:lang w:val="en-US" w:eastAsia="zh-CN"/>
              </w:rPr>
              <w:t xml:space="preserve">management enhancements for the </w:t>
            </w:r>
            <w:r>
              <w:rPr>
                <w:rFonts w:hint="eastAsia"/>
              </w:rPr>
              <w:t>cloud native VNF</w:t>
            </w:r>
            <w:r>
              <w:rPr>
                <w:rFonts w:hint="eastAsia"/>
                <w:lang w:val="en-US"/>
              </w:rPr>
              <w:t>s</w:t>
            </w:r>
            <w:r>
              <w:rPr>
                <w:rFonts w:hint="eastAsia" w:eastAsia="宋体"/>
                <w:lang w:val="en-US" w:eastAsia="zh-CN"/>
              </w:rPr>
              <w:t>/</w:t>
            </w:r>
            <w:r>
              <w:t>NF</w:t>
            </w:r>
            <w:r>
              <w:rPr>
                <w:rFonts w:hint="eastAsia" w:eastAsia="宋体"/>
                <w:lang w:val="en-US" w:eastAsia="zh-CN"/>
              </w:rPr>
              <w:t>s/ NF</w:t>
            </w:r>
            <w:r>
              <w:t xml:space="preserve"> Deployment instance</w:t>
            </w:r>
          </w:p>
        </w:tc>
        <w:tc>
          <w:tcPr>
            <w:tcW w:w="1417" w:type="dxa"/>
            <w:tcBorders>
              <w:top w:val="single" w:color="auto" w:sz="4" w:space="0"/>
              <w:left w:val="single" w:color="auto" w:sz="4" w:space="0"/>
              <w:bottom w:val="single" w:color="auto" w:sz="4" w:space="0"/>
              <w:right w:val="single" w:color="auto" w:sz="4" w:space="0"/>
            </w:tcBorders>
          </w:tcPr>
          <w:p w14:paraId="62C4100D">
            <w:pPr>
              <w:pStyle w:val="27"/>
              <w:rPr>
                <w:iCs/>
              </w:rPr>
            </w:pPr>
            <w:r>
              <w:rPr>
                <w:iCs/>
              </w:rPr>
              <w:t>Sep</w:t>
            </w:r>
            <w:r>
              <w:rPr>
                <w:rFonts w:hint="eastAsia"/>
                <w:iCs/>
              </w:rPr>
              <w:t xml:space="preserve"> 2025 (SA#10</w:t>
            </w:r>
            <w:r>
              <w:rPr>
                <w:iCs/>
              </w:rPr>
              <w:t>9</w:t>
            </w:r>
            <w:r>
              <w:rPr>
                <w:rFonts w:hint="eastAsia"/>
                <w:iCs/>
              </w:rPr>
              <w:t>)</w:t>
            </w:r>
          </w:p>
        </w:tc>
        <w:tc>
          <w:tcPr>
            <w:tcW w:w="2101" w:type="dxa"/>
            <w:tcBorders>
              <w:top w:val="single" w:color="auto" w:sz="4" w:space="0"/>
              <w:left w:val="single" w:color="auto" w:sz="4" w:space="0"/>
              <w:bottom w:val="single" w:color="auto" w:sz="4" w:space="0"/>
              <w:right w:val="single" w:color="auto" w:sz="4" w:space="0"/>
            </w:tcBorders>
          </w:tcPr>
          <w:p w14:paraId="2AD37DDC">
            <w:pPr>
              <w:pStyle w:val="27"/>
            </w:pPr>
          </w:p>
        </w:tc>
      </w:tr>
      <w:tr w14:paraId="45C658B4">
        <w:tblPrEx>
          <w:tblCellMar>
            <w:top w:w="0" w:type="dxa"/>
            <w:left w:w="108" w:type="dxa"/>
            <w:bottom w:w="0" w:type="dxa"/>
            <w:right w:w="108" w:type="dxa"/>
          </w:tblCellMar>
        </w:tblPrEx>
        <w:trPr>
          <w:cantSplit/>
          <w:jc w:val="center"/>
        </w:trPr>
        <w:tc>
          <w:tcPr>
            <w:tcW w:w="1598" w:type="dxa"/>
            <w:tcBorders>
              <w:top w:val="single" w:color="auto" w:sz="4" w:space="0"/>
              <w:left w:val="single" w:color="auto" w:sz="4" w:space="0"/>
              <w:bottom w:val="single" w:color="auto" w:sz="4" w:space="0"/>
              <w:right w:val="single" w:color="auto" w:sz="4" w:space="0"/>
            </w:tcBorders>
          </w:tcPr>
          <w:p w14:paraId="49494A54">
            <w:pPr>
              <w:pStyle w:val="27"/>
              <w:rPr>
                <w:rFonts w:eastAsia="宋体"/>
                <w:lang w:val="en-US" w:eastAsia="zh-CN"/>
              </w:rPr>
            </w:pPr>
            <w:r>
              <w:rPr>
                <w:rFonts w:hint="eastAsia" w:cs="Arial"/>
                <w:szCs w:val="18"/>
                <w:lang w:val="en-US"/>
              </w:rPr>
              <w:t>TS 28.5</w:t>
            </w:r>
            <w:r>
              <w:rPr>
                <w:rFonts w:hint="eastAsia" w:eastAsia="宋体" w:cs="Arial"/>
                <w:szCs w:val="18"/>
                <w:lang w:val="en-US" w:eastAsia="zh-CN"/>
              </w:rPr>
              <w:t>25</w:t>
            </w:r>
          </w:p>
        </w:tc>
        <w:tc>
          <w:tcPr>
            <w:tcW w:w="4191" w:type="dxa"/>
            <w:tcBorders>
              <w:top w:val="single" w:color="auto" w:sz="4" w:space="0"/>
              <w:left w:val="single" w:color="auto" w:sz="4" w:space="0"/>
              <w:bottom w:val="single" w:color="auto" w:sz="4" w:space="0"/>
              <w:right w:val="single" w:color="auto" w:sz="4" w:space="0"/>
            </w:tcBorders>
          </w:tcPr>
          <w:p w14:paraId="1BB555CE">
            <w:pPr>
              <w:pStyle w:val="27"/>
              <w:rPr>
                <w:rFonts w:eastAsia="宋体"/>
                <w:lang w:val="en-US" w:eastAsia="zh-CN"/>
              </w:rPr>
            </w:pPr>
            <w:r>
              <w:rPr>
                <w:rFonts w:hint="eastAsia"/>
                <w:lang w:val="en-US"/>
              </w:rPr>
              <w:t xml:space="preserve">Add </w:t>
            </w:r>
            <w:r>
              <w:rPr>
                <w:rFonts w:hint="eastAsia"/>
                <w:lang w:val="en-US" w:eastAsia="zh-CN"/>
              </w:rPr>
              <w:t xml:space="preserve">management enhancements for the </w:t>
            </w:r>
            <w:r>
              <w:rPr>
                <w:rFonts w:hint="eastAsia"/>
              </w:rPr>
              <w:t>cloud native VNF</w:t>
            </w:r>
            <w:r>
              <w:rPr>
                <w:rFonts w:hint="eastAsia"/>
                <w:lang w:val="en-US"/>
              </w:rPr>
              <w:t>s</w:t>
            </w:r>
            <w:r>
              <w:rPr>
                <w:rFonts w:hint="eastAsia" w:eastAsia="宋体"/>
                <w:lang w:val="en-US" w:eastAsia="zh-CN"/>
              </w:rPr>
              <w:t>/</w:t>
            </w:r>
            <w:r>
              <w:t>NF</w:t>
            </w:r>
            <w:r>
              <w:rPr>
                <w:rFonts w:hint="eastAsia" w:eastAsia="宋体"/>
                <w:lang w:val="en-US" w:eastAsia="zh-CN"/>
              </w:rPr>
              <w:t>s/ NF</w:t>
            </w:r>
            <w:r>
              <w:t xml:space="preserve"> Deployment instance</w:t>
            </w:r>
          </w:p>
        </w:tc>
        <w:tc>
          <w:tcPr>
            <w:tcW w:w="1417" w:type="dxa"/>
            <w:tcBorders>
              <w:top w:val="single" w:color="auto" w:sz="4" w:space="0"/>
              <w:left w:val="single" w:color="auto" w:sz="4" w:space="0"/>
              <w:bottom w:val="single" w:color="auto" w:sz="4" w:space="0"/>
              <w:right w:val="single" w:color="auto" w:sz="4" w:space="0"/>
            </w:tcBorders>
          </w:tcPr>
          <w:p w14:paraId="16A978C9">
            <w:pPr>
              <w:pStyle w:val="27"/>
              <w:rPr>
                <w:rFonts w:cs="Arial"/>
                <w:szCs w:val="18"/>
              </w:rPr>
            </w:pPr>
            <w:r>
              <w:rPr>
                <w:iCs/>
              </w:rPr>
              <w:t>Sep</w:t>
            </w:r>
            <w:r>
              <w:rPr>
                <w:rFonts w:hint="eastAsia"/>
                <w:iCs/>
              </w:rPr>
              <w:t xml:space="preserve"> 2025 (SA#10</w:t>
            </w:r>
            <w:r>
              <w:rPr>
                <w:iCs/>
              </w:rPr>
              <w:t>9</w:t>
            </w:r>
            <w:r>
              <w:rPr>
                <w:rFonts w:hint="eastAsia"/>
                <w:iCs/>
              </w:rPr>
              <w:t>)</w:t>
            </w:r>
          </w:p>
        </w:tc>
        <w:tc>
          <w:tcPr>
            <w:tcW w:w="2101" w:type="dxa"/>
            <w:tcBorders>
              <w:top w:val="single" w:color="auto" w:sz="4" w:space="0"/>
              <w:left w:val="single" w:color="auto" w:sz="4" w:space="0"/>
              <w:bottom w:val="single" w:color="auto" w:sz="4" w:space="0"/>
              <w:right w:val="single" w:color="auto" w:sz="4" w:space="0"/>
            </w:tcBorders>
          </w:tcPr>
          <w:p w14:paraId="7E8B6C4A">
            <w:pPr>
              <w:pStyle w:val="27"/>
            </w:pPr>
          </w:p>
        </w:tc>
      </w:tr>
      <w:tr w14:paraId="6D265117">
        <w:tblPrEx>
          <w:tblCellMar>
            <w:top w:w="0" w:type="dxa"/>
            <w:left w:w="108" w:type="dxa"/>
            <w:bottom w:w="0" w:type="dxa"/>
            <w:right w:w="108" w:type="dxa"/>
          </w:tblCellMar>
        </w:tblPrEx>
        <w:trPr>
          <w:cantSplit/>
          <w:jc w:val="center"/>
        </w:trPr>
        <w:tc>
          <w:tcPr>
            <w:tcW w:w="1598" w:type="dxa"/>
            <w:tcBorders>
              <w:top w:val="single" w:color="auto" w:sz="4" w:space="0"/>
              <w:left w:val="single" w:color="auto" w:sz="4" w:space="0"/>
              <w:bottom w:val="single" w:color="auto" w:sz="4" w:space="0"/>
              <w:right w:val="single" w:color="auto" w:sz="4" w:space="0"/>
            </w:tcBorders>
          </w:tcPr>
          <w:p w14:paraId="6545DB1D">
            <w:pPr>
              <w:pStyle w:val="27"/>
            </w:pPr>
            <w:r>
              <w:rPr>
                <w:rFonts w:hint="eastAsia" w:eastAsia="宋体" w:cs="Arial"/>
                <w:szCs w:val="18"/>
                <w:lang w:val="en-US" w:eastAsia="zh-CN"/>
              </w:rPr>
              <w:t>TS 28.526</w:t>
            </w:r>
          </w:p>
        </w:tc>
        <w:tc>
          <w:tcPr>
            <w:tcW w:w="4191" w:type="dxa"/>
            <w:tcBorders>
              <w:top w:val="single" w:color="auto" w:sz="4" w:space="0"/>
              <w:left w:val="single" w:color="auto" w:sz="4" w:space="0"/>
              <w:bottom w:val="single" w:color="auto" w:sz="4" w:space="0"/>
              <w:right w:val="single" w:color="auto" w:sz="4" w:space="0"/>
            </w:tcBorders>
          </w:tcPr>
          <w:p w14:paraId="43F3CCB0">
            <w:pPr>
              <w:pStyle w:val="27"/>
              <w:rPr>
                <w:rFonts w:eastAsia="宋体"/>
                <w:lang w:val="en-US" w:eastAsia="zh-CN"/>
              </w:rPr>
            </w:pPr>
            <w:r>
              <w:rPr>
                <w:rFonts w:hint="eastAsia"/>
                <w:lang w:val="en-US"/>
              </w:rPr>
              <w:t>Add management enhancements for the cloud native VNFs</w:t>
            </w:r>
            <w:r>
              <w:rPr>
                <w:rFonts w:hint="eastAsia" w:eastAsia="宋体"/>
                <w:lang w:val="en-US" w:eastAsia="zh-CN"/>
              </w:rPr>
              <w:t>/</w:t>
            </w:r>
            <w:r>
              <w:t>NF</w:t>
            </w:r>
            <w:r>
              <w:rPr>
                <w:rFonts w:hint="eastAsia" w:eastAsia="宋体"/>
                <w:lang w:val="en-US" w:eastAsia="zh-CN"/>
              </w:rPr>
              <w:t>s/ NF</w:t>
            </w:r>
            <w:r>
              <w:t xml:space="preserve"> Deployment instance</w:t>
            </w:r>
          </w:p>
        </w:tc>
        <w:tc>
          <w:tcPr>
            <w:tcW w:w="1417" w:type="dxa"/>
            <w:tcBorders>
              <w:top w:val="single" w:color="auto" w:sz="4" w:space="0"/>
              <w:left w:val="single" w:color="auto" w:sz="4" w:space="0"/>
              <w:bottom w:val="single" w:color="auto" w:sz="4" w:space="0"/>
              <w:right w:val="single" w:color="auto" w:sz="4" w:space="0"/>
            </w:tcBorders>
          </w:tcPr>
          <w:p w14:paraId="7B005E04">
            <w:pPr>
              <w:pStyle w:val="27"/>
            </w:pPr>
            <w:r>
              <w:rPr>
                <w:iCs/>
              </w:rPr>
              <w:t>Sep</w:t>
            </w:r>
            <w:r>
              <w:rPr>
                <w:rFonts w:hint="eastAsia"/>
                <w:iCs/>
              </w:rPr>
              <w:t xml:space="preserve"> 2025 (SA#10</w:t>
            </w:r>
            <w:r>
              <w:rPr>
                <w:iCs/>
              </w:rPr>
              <w:t>9</w:t>
            </w:r>
            <w:r>
              <w:rPr>
                <w:rFonts w:hint="eastAsia"/>
                <w:iCs/>
              </w:rPr>
              <w:t>)</w:t>
            </w:r>
          </w:p>
        </w:tc>
        <w:tc>
          <w:tcPr>
            <w:tcW w:w="2101" w:type="dxa"/>
            <w:tcBorders>
              <w:top w:val="single" w:color="auto" w:sz="4" w:space="0"/>
              <w:left w:val="single" w:color="auto" w:sz="4" w:space="0"/>
              <w:bottom w:val="single" w:color="auto" w:sz="4" w:space="0"/>
              <w:right w:val="single" w:color="auto" w:sz="4" w:space="0"/>
            </w:tcBorders>
          </w:tcPr>
          <w:p w14:paraId="5823B6BD">
            <w:pPr>
              <w:pStyle w:val="27"/>
            </w:pPr>
          </w:p>
        </w:tc>
      </w:tr>
      <w:tr w14:paraId="038AF7B9">
        <w:tblPrEx>
          <w:tblCellMar>
            <w:top w:w="0" w:type="dxa"/>
            <w:left w:w="108" w:type="dxa"/>
            <w:bottom w:w="0" w:type="dxa"/>
            <w:right w:w="108" w:type="dxa"/>
          </w:tblCellMar>
        </w:tblPrEx>
        <w:trPr>
          <w:cantSplit/>
          <w:jc w:val="center"/>
        </w:trPr>
        <w:tc>
          <w:tcPr>
            <w:tcW w:w="1598" w:type="dxa"/>
            <w:tcBorders>
              <w:top w:val="single" w:color="auto" w:sz="4" w:space="0"/>
              <w:left w:val="single" w:color="auto" w:sz="4" w:space="0"/>
              <w:bottom w:val="single" w:color="auto" w:sz="4" w:space="0"/>
              <w:right w:val="single" w:color="auto" w:sz="4" w:space="0"/>
            </w:tcBorders>
          </w:tcPr>
          <w:p w14:paraId="7201D6CA">
            <w:pPr>
              <w:pStyle w:val="27"/>
            </w:pPr>
            <w:r>
              <w:rPr>
                <w:rFonts w:hint="eastAsia"/>
                <w:lang w:val="en-US"/>
              </w:rPr>
              <w:t>T</w:t>
            </w:r>
            <w:r>
              <w:rPr>
                <w:lang w:val="en-US"/>
              </w:rPr>
              <w:t>S 28.5</w:t>
            </w:r>
            <w:r>
              <w:rPr>
                <w:rFonts w:hint="eastAsia" w:eastAsia="宋体"/>
                <w:lang w:val="en-US" w:eastAsia="zh-CN"/>
              </w:rPr>
              <w:t>31</w:t>
            </w:r>
          </w:p>
        </w:tc>
        <w:tc>
          <w:tcPr>
            <w:tcW w:w="4191" w:type="dxa"/>
            <w:tcBorders>
              <w:top w:val="single" w:color="auto" w:sz="4" w:space="0"/>
              <w:left w:val="single" w:color="auto" w:sz="4" w:space="0"/>
              <w:bottom w:val="single" w:color="auto" w:sz="4" w:space="0"/>
              <w:right w:val="single" w:color="auto" w:sz="4" w:space="0"/>
            </w:tcBorders>
          </w:tcPr>
          <w:p w14:paraId="4B99F1E7">
            <w:pPr>
              <w:pStyle w:val="27"/>
            </w:pPr>
            <w:bookmarkStart w:id="7" w:name="OLE_LINK3"/>
            <w:r>
              <w:rPr>
                <w:rFonts w:hint="eastAsia"/>
                <w:lang w:val="en-US"/>
              </w:rPr>
              <w:t>Add management enhancements for the cloud native VNFs</w:t>
            </w:r>
            <w:r>
              <w:rPr>
                <w:rFonts w:hint="eastAsia" w:eastAsia="宋体"/>
                <w:lang w:val="en-US" w:eastAsia="zh-CN"/>
              </w:rPr>
              <w:t>/</w:t>
            </w:r>
            <w:r>
              <w:t>NF</w:t>
            </w:r>
            <w:r>
              <w:rPr>
                <w:rFonts w:hint="eastAsia" w:eastAsia="宋体"/>
                <w:lang w:val="en-US" w:eastAsia="zh-CN"/>
              </w:rPr>
              <w:t>s/ NF</w:t>
            </w:r>
            <w:r>
              <w:t xml:space="preserve"> Deployment instance</w:t>
            </w:r>
            <w:bookmarkEnd w:id="7"/>
          </w:p>
        </w:tc>
        <w:tc>
          <w:tcPr>
            <w:tcW w:w="1417" w:type="dxa"/>
            <w:tcBorders>
              <w:top w:val="single" w:color="auto" w:sz="4" w:space="0"/>
              <w:left w:val="single" w:color="auto" w:sz="4" w:space="0"/>
              <w:bottom w:val="single" w:color="auto" w:sz="4" w:space="0"/>
              <w:right w:val="single" w:color="auto" w:sz="4" w:space="0"/>
            </w:tcBorders>
          </w:tcPr>
          <w:p w14:paraId="6BE201C2">
            <w:pPr>
              <w:pStyle w:val="27"/>
            </w:pPr>
            <w:bookmarkStart w:id="8" w:name="OLE_LINK4"/>
            <w:r>
              <w:rPr>
                <w:iCs/>
              </w:rPr>
              <w:t>Sep</w:t>
            </w:r>
            <w:r>
              <w:rPr>
                <w:rFonts w:hint="eastAsia"/>
                <w:iCs/>
              </w:rPr>
              <w:t xml:space="preserve"> 2025 (SA#10</w:t>
            </w:r>
            <w:r>
              <w:rPr>
                <w:iCs/>
              </w:rPr>
              <w:t>9</w:t>
            </w:r>
            <w:r>
              <w:rPr>
                <w:rFonts w:hint="eastAsia"/>
                <w:iCs/>
              </w:rPr>
              <w:t>)</w:t>
            </w:r>
            <w:bookmarkEnd w:id="8"/>
          </w:p>
        </w:tc>
        <w:tc>
          <w:tcPr>
            <w:tcW w:w="2101" w:type="dxa"/>
            <w:tcBorders>
              <w:top w:val="single" w:color="auto" w:sz="4" w:space="0"/>
              <w:left w:val="single" w:color="auto" w:sz="4" w:space="0"/>
              <w:bottom w:val="single" w:color="auto" w:sz="4" w:space="0"/>
              <w:right w:val="single" w:color="auto" w:sz="4" w:space="0"/>
            </w:tcBorders>
          </w:tcPr>
          <w:p w14:paraId="586A5D52">
            <w:pPr>
              <w:pStyle w:val="27"/>
            </w:pPr>
          </w:p>
        </w:tc>
      </w:tr>
      <w:tr w14:paraId="3C4BF049">
        <w:tblPrEx>
          <w:tblCellMar>
            <w:top w:w="0" w:type="dxa"/>
            <w:left w:w="108" w:type="dxa"/>
            <w:bottom w:w="0" w:type="dxa"/>
            <w:right w:w="108" w:type="dxa"/>
          </w:tblCellMar>
        </w:tblPrEx>
        <w:trPr>
          <w:cantSplit/>
          <w:jc w:val="center"/>
        </w:trPr>
        <w:tc>
          <w:tcPr>
            <w:tcW w:w="1598" w:type="dxa"/>
            <w:tcBorders>
              <w:top w:val="single" w:color="auto" w:sz="4" w:space="0"/>
              <w:left w:val="single" w:color="auto" w:sz="4" w:space="0"/>
              <w:bottom w:val="single" w:color="auto" w:sz="4" w:space="0"/>
              <w:right w:val="single" w:color="auto" w:sz="4" w:space="0"/>
            </w:tcBorders>
          </w:tcPr>
          <w:p w14:paraId="054E1B06">
            <w:pPr>
              <w:pStyle w:val="27"/>
              <w:rPr>
                <w:rFonts w:eastAsia="宋体"/>
                <w:lang w:val="en-US" w:eastAsia="zh-CN"/>
              </w:rPr>
            </w:pPr>
            <w:r>
              <w:rPr>
                <w:rFonts w:hint="eastAsia" w:eastAsia="宋体"/>
                <w:lang w:val="en-US" w:eastAsia="zh-CN"/>
              </w:rPr>
              <w:t>TS 28.532</w:t>
            </w:r>
          </w:p>
        </w:tc>
        <w:tc>
          <w:tcPr>
            <w:tcW w:w="4191" w:type="dxa"/>
            <w:tcBorders>
              <w:top w:val="single" w:color="auto" w:sz="4" w:space="0"/>
              <w:left w:val="single" w:color="auto" w:sz="4" w:space="0"/>
              <w:bottom w:val="single" w:color="auto" w:sz="4" w:space="0"/>
              <w:right w:val="single" w:color="auto" w:sz="4" w:space="0"/>
            </w:tcBorders>
          </w:tcPr>
          <w:p w14:paraId="206F6C1B">
            <w:pPr>
              <w:pStyle w:val="27"/>
              <w:rPr>
                <w:lang w:val="en-US"/>
              </w:rPr>
            </w:pPr>
            <w:r>
              <w:rPr>
                <w:rFonts w:hint="eastAsia"/>
                <w:lang w:val="en-US"/>
              </w:rPr>
              <w:t>Add management enhancements for the cloud native VNFs</w:t>
            </w:r>
            <w:r>
              <w:rPr>
                <w:rFonts w:hint="eastAsia" w:eastAsia="宋体"/>
                <w:lang w:val="en-US" w:eastAsia="zh-CN"/>
              </w:rPr>
              <w:t>/</w:t>
            </w:r>
            <w:r>
              <w:t>NF</w:t>
            </w:r>
            <w:r>
              <w:rPr>
                <w:rFonts w:hint="eastAsia" w:eastAsia="宋体"/>
                <w:lang w:val="en-US" w:eastAsia="zh-CN"/>
              </w:rPr>
              <w:t>s/ NF</w:t>
            </w:r>
            <w:r>
              <w:t xml:space="preserve"> Deployment instance</w:t>
            </w:r>
          </w:p>
        </w:tc>
        <w:tc>
          <w:tcPr>
            <w:tcW w:w="1417" w:type="dxa"/>
            <w:tcBorders>
              <w:top w:val="single" w:color="auto" w:sz="4" w:space="0"/>
              <w:left w:val="single" w:color="auto" w:sz="4" w:space="0"/>
              <w:bottom w:val="single" w:color="auto" w:sz="4" w:space="0"/>
              <w:right w:val="single" w:color="auto" w:sz="4" w:space="0"/>
            </w:tcBorders>
          </w:tcPr>
          <w:p w14:paraId="6D9300C0">
            <w:pPr>
              <w:pStyle w:val="27"/>
              <w:rPr>
                <w:iCs/>
              </w:rPr>
            </w:pPr>
            <w:r>
              <w:rPr>
                <w:iCs/>
              </w:rPr>
              <w:t>Sep</w:t>
            </w:r>
            <w:r>
              <w:rPr>
                <w:rFonts w:hint="eastAsia"/>
                <w:iCs/>
              </w:rPr>
              <w:t xml:space="preserve"> 2025 (SA#10</w:t>
            </w:r>
            <w:r>
              <w:rPr>
                <w:iCs/>
              </w:rPr>
              <w:t>9</w:t>
            </w:r>
            <w:r>
              <w:rPr>
                <w:rFonts w:hint="eastAsia"/>
                <w:iCs/>
              </w:rPr>
              <w:t>)</w:t>
            </w:r>
          </w:p>
        </w:tc>
        <w:tc>
          <w:tcPr>
            <w:tcW w:w="2101" w:type="dxa"/>
            <w:tcBorders>
              <w:top w:val="single" w:color="auto" w:sz="4" w:space="0"/>
              <w:left w:val="single" w:color="auto" w:sz="4" w:space="0"/>
              <w:bottom w:val="single" w:color="auto" w:sz="4" w:space="0"/>
              <w:right w:val="single" w:color="auto" w:sz="4" w:space="0"/>
            </w:tcBorders>
          </w:tcPr>
          <w:p w14:paraId="3B90C7C0">
            <w:pPr>
              <w:pStyle w:val="27"/>
              <w:rPr>
                <w:lang w:val="en-US"/>
              </w:rPr>
            </w:pPr>
          </w:p>
        </w:tc>
      </w:tr>
      <w:tr w14:paraId="37E8E3B0">
        <w:tblPrEx>
          <w:tblCellMar>
            <w:top w:w="0" w:type="dxa"/>
            <w:left w:w="108" w:type="dxa"/>
            <w:bottom w:w="0" w:type="dxa"/>
            <w:right w:w="108" w:type="dxa"/>
          </w:tblCellMar>
        </w:tblPrEx>
        <w:trPr>
          <w:cantSplit/>
          <w:jc w:val="center"/>
        </w:trPr>
        <w:tc>
          <w:tcPr>
            <w:tcW w:w="1598" w:type="dxa"/>
            <w:tcBorders>
              <w:top w:val="single" w:color="auto" w:sz="4" w:space="0"/>
              <w:left w:val="single" w:color="auto" w:sz="4" w:space="0"/>
              <w:bottom w:val="single" w:color="auto" w:sz="4" w:space="0"/>
              <w:right w:val="single" w:color="auto" w:sz="4" w:space="0"/>
            </w:tcBorders>
          </w:tcPr>
          <w:p w14:paraId="484DEAB3">
            <w:pPr>
              <w:pStyle w:val="27"/>
              <w:rPr>
                <w:rFonts w:eastAsia="宋体"/>
                <w:lang w:val="en-US" w:eastAsia="zh-CN"/>
              </w:rPr>
            </w:pPr>
            <w:r>
              <w:rPr>
                <w:rFonts w:hint="eastAsia" w:eastAsia="宋体"/>
                <w:lang w:val="en-US" w:eastAsia="zh-CN"/>
              </w:rPr>
              <w:t>TS 28.533</w:t>
            </w:r>
          </w:p>
        </w:tc>
        <w:tc>
          <w:tcPr>
            <w:tcW w:w="4191" w:type="dxa"/>
            <w:tcBorders>
              <w:top w:val="single" w:color="auto" w:sz="4" w:space="0"/>
              <w:left w:val="single" w:color="auto" w:sz="4" w:space="0"/>
              <w:bottom w:val="single" w:color="auto" w:sz="4" w:space="0"/>
              <w:right w:val="single" w:color="auto" w:sz="4" w:space="0"/>
            </w:tcBorders>
          </w:tcPr>
          <w:p w14:paraId="7031A81F">
            <w:pPr>
              <w:pStyle w:val="27"/>
              <w:rPr>
                <w:lang w:val="en-US"/>
              </w:rPr>
            </w:pPr>
            <w:r>
              <w:rPr>
                <w:rFonts w:hint="eastAsia"/>
                <w:lang w:val="en-US"/>
              </w:rPr>
              <w:t>Add management enhancements for the cloud native VNFs</w:t>
            </w:r>
            <w:r>
              <w:rPr>
                <w:rFonts w:hint="eastAsia" w:eastAsia="宋体"/>
                <w:lang w:val="en-US" w:eastAsia="zh-CN"/>
              </w:rPr>
              <w:t>/</w:t>
            </w:r>
            <w:r>
              <w:t>NF</w:t>
            </w:r>
            <w:r>
              <w:rPr>
                <w:rFonts w:hint="eastAsia" w:eastAsia="宋体"/>
                <w:lang w:val="en-US" w:eastAsia="zh-CN"/>
              </w:rPr>
              <w:t>s/ NF</w:t>
            </w:r>
            <w:r>
              <w:t xml:space="preserve"> Deployment instance</w:t>
            </w:r>
          </w:p>
        </w:tc>
        <w:tc>
          <w:tcPr>
            <w:tcW w:w="1417" w:type="dxa"/>
            <w:tcBorders>
              <w:top w:val="single" w:color="auto" w:sz="4" w:space="0"/>
              <w:left w:val="single" w:color="auto" w:sz="4" w:space="0"/>
              <w:bottom w:val="single" w:color="auto" w:sz="4" w:space="0"/>
              <w:right w:val="single" w:color="auto" w:sz="4" w:space="0"/>
            </w:tcBorders>
          </w:tcPr>
          <w:p w14:paraId="3C0B97F6">
            <w:pPr>
              <w:pStyle w:val="27"/>
              <w:rPr>
                <w:iCs/>
              </w:rPr>
            </w:pPr>
            <w:r>
              <w:rPr>
                <w:iCs/>
              </w:rPr>
              <w:t>Sep</w:t>
            </w:r>
            <w:r>
              <w:rPr>
                <w:rFonts w:hint="eastAsia"/>
                <w:iCs/>
              </w:rPr>
              <w:t xml:space="preserve"> 2025 (SA#10</w:t>
            </w:r>
            <w:r>
              <w:rPr>
                <w:iCs/>
              </w:rPr>
              <w:t>9</w:t>
            </w:r>
            <w:r>
              <w:rPr>
                <w:rFonts w:hint="eastAsia"/>
                <w:iCs/>
              </w:rPr>
              <w:t>)</w:t>
            </w:r>
          </w:p>
        </w:tc>
        <w:tc>
          <w:tcPr>
            <w:tcW w:w="2101" w:type="dxa"/>
            <w:tcBorders>
              <w:top w:val="single" w:color="auto" w:sz="4" w:space="0"/>
              <w:left w:val="single" w:color="auto" w:sz="4" w:space="0"/>
              <w:bottom w:val="single" w:color="auto" w:sz="4" w:space="0"/>
              <w:right w:val="single" w:color="auto" w:sz="4" w:space="0"/>
            </w:tcBorders>
          </w:tcPr>
          <w:p w14:paraId="23D18505">
            <w:pPr>
              <w:pStyle w:val="27"/>
              <w:rPr>
                <w:lang w:val="en-US"/>
              </w:rPr>
            </w:pPr>
          </w:p>
        </w:tc>
      </w:tr>
    </w:tbl>
    <w:p w14:paraId="7C73ACBA"/>
    <w:p w14:paraId="7CB65AF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7ACBEE05"/>
    <w:p w14:paraId="7C773C9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55D2430">
      <w:pPr>
        <w:rPr>
          <w:lang w:eastAsia="ja-JP"/>
        </w:rPr>
      </w:pPr>
      <w:r>
        <w:rPr>
          <w:lang w:eastAsia="ja-JP"/>
        </w:rPr>
        <w:t>SA5</w:t>
      </w:r>
    </w:p>
    <w:p w14:paraId="6141EE1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39590D4E">
      <w:r>
        <w:rPr>
          <w:rFonts w:hint="eastAsia"/>
        </w:rPr>
        <w:t>ETSI</w:t>
      </w:r>
      <w:r>
        <w:rPr>
          <w:rFonts w:hint="eastAsia" w:eastAsia="宋体"/>
          <w:lang w:val="en-US" w:eastAsia="zh-CN"/>
        </w:rPr>
        <w:t xml:space="preserve"> </w:t>
      </w:r>
      <w:r>
        <w:rPr>
          <w:rFonts w:hint="eastAsia"/>
        </w:rPr>
        <w:t>NFV</w:t>
      </w:r>
    </w:p>
    <w:p w14:paraId="28602E5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0CDECAFA">
      <w:pPr>
        <w:pStyle w:val="25"/>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39C19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A1D869A">
            <w:pPr>
              <w:pStyle w:val="28"/>
            </w:pPr>
            <w:r>
              <w:t>Supporting IM name</w:t>
            </w:r>
          </w:p>
        </w:tc>
      </w:tr>
      <w:tr w14:paraId="66588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36860DB">
            <w:pPr>
              <w:pStyle w:val="27"/>
            </w:pPr>
            <w:r>
              <w:rPr>
                <w:rFonts w:hint="eastAsia" w:eastAsia="宋体"/>
                <w:lang w:val="en-US" w:eastAsia="zh-CN"/>
              </w:rPr>
              <w:t xml:space="preserve">China Mobile </w:t>
            </w:r>
          </w:p>
        </w:tc>
      </w:tr>
      <w:tr w14:paraId="270AC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DA67CB3">
            <w:pPr>
              <w:pStyle w:val="27"/>
            </w:pPr>
            <w:r>
              <w:t>NTT DOCOMO</w:t>
            </w:r>
          </w:p>
        </w:tc>
      </w:tr>
      <w:tr w14:paraId="66068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4067014">
            <w:pPr>
              <w:pStyle w:val="27"/>
              <w:rPr>
                <w:rFonts w:eastAsia="宋体"/>
                <w:lang w:val="en-US" w:eastAsia="zh-CN"/>
              </w:rPr>
            </w:pPr>
            <w:r>
              <w:rPr>
                <w:rFonts w:eastAsia="宋体"/>
                <w:lang w:val="en-US" w:eastAsia="zh-CN"/>
              </w:rPr>
              <w:t>Rakuten Mobile</w:t>
            </w:r>
          </w:p>
        </w:tc>
      </w:tr>
      <w:tr w14:paraId="4774E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5029" w:type="dxa"/>
            <w:shd w:val="clear" w:color="auto" w:fill="auto"/>
          </w:tcPr>
          <w:p w14:paraId="2464BB5F">
            <w:pPr>
              <w:pStyle w:val="27"/>
              <w:rPr>
                <w:rFonts w:eastAsia="宋体"/>
                <w:lang w:val="en-US" w:eastAsia="zh-CN"/>
              </w:rPr>
            </w:pPr>
            <w:r>
              <w:rPr>
                <w:rFonts w:hint="eastAsia" w:eastAsia="宋体"/>
                <w:lang w:val="en-US" w:eastAsia="zh-CN"/>
              </w:rPr>
              <w:t>ZTE</w:t>
            </w:r>
          </w:p>
        </w:tc>
      </w:tr>
      <w:tr w14:paraId="32426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A113C47">
            <w:pPr>
              <w:pStyle w:val="27"/>
            </w:pPr>
            <w:r>
              <w:rPr>
                <w:rFonts w:hint="eastAsia" w:eastAsia="宋体"/>
                <w:lang w:val="en-US" w:eastAsia="zh-CN"/>
              </w:rPr>
              <w:t>NEC</w:t>
            </w:r>
          </w:p>
        </w:tc>
      </w:tr>
      <w:tr w14:paraId="2258A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6B16DB">
            <w:pPr>
              <w:pStyle w:val="27"/>
            </w:pPr>
            <w:r>
              <w:rPr>
                <w:rFonts w:hint="eastAsia" w:eastAsia="宋体"/>
                <w:lang w:val="en-US" w:eastAsia="zh-CN"/>
              </w:rPr>
              <w:t>AsiaInfo</w:t>
            </w:r>
          </w:p>
        </w:tc>
      </w:tr>
      <w:tr w14:paraId="1323C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52F18CC">
            <w:pPr>
              <w:pStyle w:val="27"/>
              <w:rPr>
                <w:rFonts w:eastAsia="宋体"/>
                <w:lang w:val="en-US" w:eastAsia="zh-CN"/>
              </w:rPr>
            </w:pPr>
            <w:r>
              <w:rPr>
                <w:rFonts w:hint="eastAsia" w:eastAsia="宋体"/>
                <w:shd w:val="clear" w:color="auto" w:fill="FFFFFF"/>
                <w:lang w:eastAsia="zh-CN"/>
              </w:rPr>
              <w:t>China Unicom</w:t>
            </w:r>
          </w:p>
        </w:tc>
      </w:tr>
      <w:tr w14:paraId="3A0CE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B3C3FA3">
            <w:pPr>
              <w:pStyle w:val="27"/>
              <w:rPr>
                <w:rFonts w:eastAsia="宋体"/>
                <w:lang w:val="en-US" w:eastAsia="zh-CN"/>
              </w:rPr>
            </w:pPr>
            <w:r>
              <w:rPr>
                <w:rFonts w:hint="eastAsia" w:eastAsia="宋体"/>
                <w:lang w:val="en-US" w:eastAsia="zh-CN"/>
              </w:rPr>
              <w:t>CATT</w:t>
            </w:r>
          </w:p>
        </w:tc>
      </w:tr>
    </w:tbl>
    <w:p w14:paraId="6E7AC74D"/>
    <w:p w14:paraId="472E254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B90"/>
    <w:rsid w:val="00030CD4"/>
    <w:rsid w:val="000344A1"/>
    <w:rsid w:val="00042051"/>
    <w:rsid w:val="00042352"/>
    <w:rsid w:val="00046686"/>
    <w:rsid w:val="00046FDD"/>
    <w:rsid w:val="000475F1"/>
    <w:rsid w:val="00050925"/>
    <w:rsid w:val="00054884"/>
    <w:rsid w:val="0005594E"/>
    <w:rsid w:val="00057E1E"/>
    <w:rsid w:val="0006182E"/>
    <w:rsid w:val="0006476A"/>
    <w:rsid w:val="0006619D"/>
    <w:rsid w:val="000726EB"/>
    <w:rsid w:val="00072A7C"/>
    <w:rsid w:val="000775E7"/>
    <w:rsid w:val="0007775C"/>
    <w:rsid w:val="00094F23"/>
    <w:rsid w:val="000967F4"/>
    <w:rsid w:val="000A6432"/>
    <w:rsid w:val="000A767E"/>
    <w:rsid w:val="000B7134"/>
    <w:rsid w:val="000C076F"/>
    <w:rsid w:val="000C3A57"/>
    <w:rsid w:val="000D2079"/>
    <w:rsid w:val="000D6D78"/>
    <w:rsid w:val="000E0429"/>
    <w:rsid w:val="000E0437"/>
    <w:rsid w:val="000F6E51"/>
    <w:rsid w:val="00102A24"/>
    <w:rsid w:val="001244C2"/>
    <w:rsid w:val="0013259C"/>
    <w:rsid w:val="00135831"/>
    <w:rsid w:val="00135C02"/>
    <w:rsid w:val="001376A6"/>
    <w:rsid w:val="001424CD"/>
    <w:rsid w:val="0014389B"/>
    <w:rsid w:val="0014413C"/>
    <w:rsid w:val="00150C36"/>
    <w:rsid w:val="00157F50"/>
    <w:rsid w:val="00157FFB"/>
    <w:rsid w:val="00160016"/>
    <w:rsid w:val="001607AE"/>
    <w:rsid w:val="00166A1B"/>
    <w:rsid w:val="00167F4A"/>
    <w:rsid w:val="00170EDB"/>
    <w:rsid w:val="001742BD"/>
    <w:rsid w:val="00180FBE"/>
    <w:rsid w:val="00192528"/>
    <w:rsid w:val="00192B41"/>
    <w:rsid w:val="0019338C"/>
    <w:rsid w:val="00193EA6"/>
    <w:rsid w:val="00197E4A"/>
    <w:rsid w:val="001A31EF"/>
    <w:rsid w:val="001A3E7E"/>
    <w:rsid w:val="001B01F1"/>
    <w:rsid w:val="001B2414"/>
    <w:rsid w:val="001B5421"/>
    <w:rsid w:val="001B650D"/>
    <w:rsid w:val="001B7C6C"/>
    <w:rsid w:val="001C4D38"/>
    <w:rsid w:val="001C4D9B"/>
    <w:rsid w:val="001D0B09"/>
    <w:rsid w:val="001D146F"/>
    <w:rsid w:val="001E489F"/>
    <w:rsid w:val="001E6729"/>
    <w:rsid w:val="001F7653"/>
    <w:rsid w:val="002032F7"/>
    <w:rsid w:val="002070CB"/>
    <w:rsid w:val="0021015D"/>
    <w:rsid w:val="002150C4"/>
    <w:rsid w:val="00221438"/>
    <w:rsid w:val="00232528"/>
    <w:rsid w:val="002336A6"/>
    <w:rsid w:val="002336BF"/>
    <w:rsid w:val="0023446E"/>
    <w:rsid w:val="00234648"/>
    <w:rsid w:val="00235F9B"/>
    <w:rsid w:val="002369F7"/>
    <w:rsid w:val="00236BBA"/>
    <w:rsid w:val="00236D1F"/>
    <w:rsid w:val="002407FF"/>
    <w:rsid w:val="00241A03"/>
    <w:rsid w:val="00243051"/>
    <w:rsid w:val="00250F58"/>
    <w:rsid w:val="00253892"/>
    <w:rsid w:val="002541D3"/>
    <w:rsid w:val="00256429"/>
    <w:rsid w:val="0026253E"/>
    <w:rsid w:val="00272D61"/>
    <w:rsid w:val="00287060"/>
    <w:rsid w:val="002919B7"/>
    <w:rsid w:val="00291EF2"/>
    <w:rsid w:val="00295D61"/>
    <w:rsid w:val="00295D9F"/>
    <w:rsid w:val="00297C1F"/>
    <w:rsid w:val="002B074C"/>
    <w:rsid w:val="002B2FE7"/>
    <w:rsid w:val="002B311E"/>
    <w:rsid w:val="002B34EA"/>
    <w:rsid w:val="002B5361"/>
    <w:rsid w:val="002C1BA4"/>
    <w:rsid w:val="002C47B8"/>
    <w:rsid w:val="002E397B"/>
    <w:rsid w:val="002E3AE2"/>
    <w:rsid w:val="002E7BC9"/>
    <w:rsid w:val="002F7CCB"/>
    <w:rsid w:val="00301992"/>
    <w:rsid w:val="00303C4B"/>
    <w:rsid w:val="003057FD"/>
    <w:rsid w:val="003101C6"/>
    <w:rsid w:val="00310E70"/>
    <w:rsid w:val="00313F3E"/>
    <w:rsid w:val="00320536"/>
    <w:rsid w:val="00325E33"/>
    <w:rsid w:val="003275E6"/>
    <w:rsid w:val="00327BCF"/>
    <w:rsid w:val="00343CDE"/>
    <w:rsid w:val="003475D5"/>
    <w:rsid w:val="00354553"/>
    <w:rsid w:val="003715B7"/>
    <w:rsid w:val="003728A3"/>
    <w:rsid w:val="00375440"/>
    <w:rsid w:val="00376C60"/>
    <w:rsid w:val="00380D2A"/>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48F9"/>
    <w:rsid w:val="00411339"/>
    <w:rsid w:val="004131BD"/>
    <w:rsid w:val="00413F49"/>
    <w:rsid w:val="004159BE"/>
    <w:rsid w:val="00416CEA"/>
    <w:rsid w:val="00421AFD"/>
    <w:rsid w:val="004246F2"/>
    <w:rsid w:val="00432048"/>
    <w:rsid w:val="00434BF8"/>
    <w:rsid w:val="00442C65"/>
    <w:rsid w:val="00451122"/>
    <w:rsid w:val="004518DB"/>
    <w:rsid w:val="00452B5E"/>
    <w:rsid w:val="004562FC"/>
    <w:rsid w:val="00477EBC"/>
    <w:rsid w:val="00482246"/>
    <w:rsid w:val="00484421"/>
    <w:rsid w:val="004864D6"/>
    <w:rsid w:val="00490E69"/>
    <w:rsid w:val="00491391"/>
    <w:rsid w:val="004A01BD"/>
    <w:rsid w:val="004A0A73"/>
    <w:rsid w:val="004A180A"/>
    <w:rsid w:val="004A661C"/>
    <w:rsid w:val="004C4C9B"/>
    <w:rsid w:val="004D2FA0"/>
    <w:rsid w:val="004E1010"/>
    <w:rsid w:val="004E4249"/>
    <w:rsid w:val="004F23D5"/>
    <w:rsid w:val="004F4172"/>
    <w:rsid w:val="0050202A"/>
    <w:rsid w:val="00507903"/>
    <w:rsid w:val="0052032E"/>
    <w:rsid w:val="00521896"/>
    <w:rsid w:val="00522A80"/>
    <w:rsid w:val="00525669"/>
    <w:rsid w:val="00535A39"/>
    <w:rsid w:val="00544D8F"/>
    <w:rsid w:val="00553BDE"/>
    <w:rsid w:val="00556F13"/>
    <w:rsid w:val="00562495"/>
    <w:rsid w:val="005631AE"/>
    <w:rsid w:val="0057401B"/>
    <w:rsid w:val="00577727"/>
    <w:rsid w:val="005777AF"/>
    <w:rsid w:val="00586562"/>
    <w:rsid w:val="00590B24"/>
    <w:rsid w:val="00593DC4"/>
    <w:rsid w:val="0059529B"/>
    <w:rsid w:val="005954DD"/>
    <w:rsid w:val="0059632C"/>
    <w:rsid w:val="005A3249"/>
    <w:rsid w:val="005A6ABC"/>
    <w:rsid w:val="005B1577"/>
    <w:rsid w:val="005B2109"/>
    <w:rsid w:val="005B35A2"/>
    <w:rsid w:val="005C0CC6"/>
    <w:rsid w:val="005C0FFC"/>
    <w:rsid w:val="005C3F71"/>
    <w:rsid w:val="005C5A03"/>
    <w:rsid w:val="005C7352"/>
    <w:rsid w:val="005D14B4"/>
    <w:rsid w:val="005D1F7E"/>
    <w:rsid w:val="005D2289"/>
    <w:rsid w:val="005D2738"/>
    <w:rsid w:val="005D37AC"/>
    <w:rsid w:val="005D60FD"/>
    <w:rsid w:val="005E07CB"/>
    <w:rsid w:val="005E0BF8"/>
    <w:rsid w:val="005E32BB"/>
    <w:rsid w:val="005E7235"/>
    <w:rsid w:val="005F041C"/>
    <w:rsid w:val="005F2E94"/>
    <w:rsid w:val="005F4B34"/>
    <w:rsid w:val="005F6186"/>
    <w:rsid w:val="00616E18"/>
    <w:rsid w:val="00620287"/>
    <w:rsid w:val="00623AED"/>
    <w:rsid w:val="0062580F"/>
    <w:rsid w:val="00632157"/>
    <w:rsid w:val="00633971"/>
    <w:rsid w:val="006341C6"/>
    <w:rsid w:val="0064121E"/>
    <w:rsid w:val="00642894"/>
    <w:rsid w:val="00654425"/>
    <w:rsid w:val="00660354"/>
    <w:rsid w:val="006606DB"/>
    <w:rsid w:val="006636E5"/>
    <w:rsid w:val="006649B9"/>
    <w:rsid w:val="00665B9B"/>
    <w:rsid w:val="0067616E"/>
    <w:rsid w:val="00690725"/>
    <w:rsid w:val="00692305"/>
    <w:rsid w:val="00693606"/>
    <w:rsid w:val="00693D70"/>
    <w:rsid w:val="006975AE"/>
    <w:rsid w:val="006A0E66"/>
    <w:rsid w:val="006A32D1"/>
    <w:rsid w:val="006A3CF5"/>
    <w:rsid w:val="006B4BC6"/>
    <w:rsid w:val="006B5245"/>
    <w:rsid w:val="006D03E2"/>
    <w:rsid w:val="006D0A8E"/>
    <w:rsid w:val="006D1C48"/>
    <w:rsid w:val="006D3D54"/>
    <w:rsid w:val="006E0D1B"/>
    <w:rsid w:val="006E1A49"/>
    <w:rsid w:val="006E3A55"/>
    <w:rsid w:val="006F1B00"/>
    <w:rsid w:val="006F2EEB"/>
    <w:rsid w:val="006F4B7A"/>
    <w:rsid w:val="00700A59"/>
    <w:rsid w:val="00710142"/>
    <w:rsid w:val="00712E81"/>
    <w:rsid w:val="00715590"/>
    <w:rsid w:val="00723919"/>
    <w:rsid w:val="007257F5"/>
    <w:rsid w:val="007261D3"/>
    <w:rsid w:val="007338FE"/>
    <w:rsid w:val="00733E86"/>
    <w:rsid w:val="0074596C"/>
    <w:rsid w:val="00747C06"/>
    <w:rsid w:val="00750D12"/>
    <w:rsid w:val="0075302D"/>
    <w:rsid w:val="00756BBB"/>
    <w:rsid w:val="00761952"/>
    <w:rsid w:val="00761B9B"/>
    <w:rsid w:val="00762474"/>
    <w:rsid w:val="0076439E"/>
    <w:rsid w:val="00770CC5"/>
    <w:rsid w:val="007814A8"/>
    <w:rsid w:val="00781A62"/>
    <w:rsid w:val="00781F2F"/>
    <w:rsid w:val="00783C0E"/>
    <w:rsid w:val="007861B8"/>
    <w:rsid w:val="00787383"/>
    <w:rsid w:val="00791B51"/>
    <w:rsid w:val="00794505"/>
    <w:rsid w:val="00795AD1"/>
    <w:rsid w:val="007A3283"/>
    <w:rsid w:val="007B5456"/>
    <w:rsid w:val="007B5B74"/>
    <w:rsid w:val="007B5F65"/>
    <w:rsid w:val="007C767B"/>
    <w:rsid w:val="007D3C7C"/>
    <w:rsid w:val="007D4455"/>
    <w:rsid w:val="007D687A"/>
    <w:rsid w:val="007E1BA0"/>
    <w:rsid w:val="007E5611"/>
    <w:rsid w:val="007F2297"/>
    <w:rsid w:val="007F2851"/>
    <w:rsid w:val="007F55EC"/>
    <w:rsid w:val="007F6574"/>
    <w:rsid w:val="0082208D"/>
    <w:rsid w:val="00823E64"/>
    <w:rsid w:val="0082577C"/>
    <w:rsid w:val="00826BAD"/>
    <w:rsid w:val="00831057"/>
    <w:rsid w:val="00834B02"/>
    <w:rsid w:val="00837EF8"/>
    <w:rsid w:val="0084119C"/>
    <w:rsid w:val="00843DF9"/>
    <w:rsid w:val="00850CD4"/>
    <w:rsid w:val="00854A49"/>
    <w:rsid w:val="008578D0"/>
    <w:rsid w:val="008624DE"/>
    <w:rsid w:val="008634EB"/>
    <w:rsid w:val="00866945"/>
    <w:rsid w:val="00871009"/>
    <w:rsid w:val="00876BD5"/>
    <w:rsid w:val="00896148"/>
    <w:rsid w:val="00897C84"/>
    <w:rsid w:val="008A06BE"/>
    <w:rsid w:val="008A56FD"/>
    <w:rsid w:val="008A675E"/>
    <w:rsid w:val="008D3DA6"/>
    <w:rsid w:val="008D5DA3"/>
    <w:rsid w:val="008E4946"/>
    <w:rsid w:val="008E70F7"/>
    <w:rsid w:val="008F0593"/>
    <w:rsid w:val="008F1D3B"/>
    <w:rsid w:val="008F6659"/>
    <w:rsid w:val="008F7444"/>
    <w:rsid w:val="008F7A15"/>
    <w:rsid w:val="008F7E33"/>
    <w:rsid w:val="0090021A"/>
    <w:rsid w:val="009064DD"/>
    <w:rsid w:val="0091321C"/>
    <w:rsid w:val="00913788"/>
    <w:rsid w:val="0091399A"/>
    <w:rsid w:val="00922D75"/>
    <w:rsid w:val="00925245"/>
    <w:rsid w:val="009253FB"/>
    <w:rsid w:val="00925993"/>
    <w:rsid w:val="00926791"/>
    <w:rsid w:val="0093542B"/>
    <w:rsid w:val="0093661C"/>
    <w:rsid w:val="00940736"/>
    <w:rsid w:val="00941253"/>
    <w:rsid w:val="0095038B"/>
    <w:rsid w:val="00950CF7"/>
    <w:rsid w:val="00960A44"/>
    <w:rsid w:val="00965A1C"/>
    <w:rsid w:val="009669A4"/>
    <w:rsid w:val="00970864"/>
    <w:rsid w:val="009736D5"/>
    <w:rsid w:val="009768C3"/>
    <w:rsid w:val="00977C43"/>
    <w:rsid w:val="0098195A"/>
    <w:rsid w:val="00985054"/>
    <w:rsid w:val="0098637A"/>
    <w:rsid w:val="00990EEE"/>
    <w:rsid w:val="0099172C"/>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6CA3"/>
    <w:rsid w:val="00A17F01"/>
    <w:rsid w:val="00A24557"/>
    <w:rsid w:val="00A248B2"/>
    <w:rsid w:val="00A267D7"/>
    <w:rsid w:val="00A27A64"/>
    <w:rsid w:val="00A3134A"/>
    <w:rsid w:val="00A32A1A"/>
    <w:rsid w:val="00A35CC7"/>
    <w:rsid w:val="00A37F80"/>
    <w:rsid w:val="00A46B3F"/>
    <w:rsid w:val="00A46F30"/>
    <w:rsid w:val="00A61169"/>
    <w:rsid w:val="00A63024"/>
    <w:rsid w:val="00A63ECE"/>
    <w:rsid w:val="00A65602"/>
    <w:rsid w:val="00A727A3"/>
    <w:rsid w:val="00A82FCC"/>
    <w:rsid w:val="00A8479D"/>
    <w:rsid w:val="00A86376"/>
    <w:rsid w:val="00A906A4"/>
    <w:rsid w:val="00A97953"/>
    <w:rsid w:val="00AA574E"/>
    <w:rsid w:val="00AB29B9"/>
    <w:rsid w:val="00AB47FD"/>
    <w:rsid w:val="00AD2C73"/>
    <w:rsid w:val="00AD324E"/>
    <w:rsid w:val="00AD5B51"/>
    <w:rsid w:val="00AD75AC"/>
    <w:rsid w:val="00AD7B78"/>
    <w:rsid w:val="00AE3871"/>
    <w:rsid w:val="00AF15C9"/>
    <w:rsid w:val="00AF4118"/>
    <w:rsid w:val="00B00077"/>
    <w:rsid w:val="00B02A9B"/>
    <w:rsid w:val="00B03107"/>
    <w:rsid w:val="00B10820"/>
    <w:rsid w:val="00B16E03"/>
    <w:rsid w:val="00B1749C"/>
    <w:rsid w:val="00B267A6"/>
    <w:rsid w:val="00B26961"/>
    <w:rsid w:val="00B30214"/>
    <w:rsid w:val="00B3526C"/>
    <w:rsid w:val="00B376E0"/>
    <w:rsid w:val="00B43DA4"/>
    <w:rsid w:val="00B45C31"/>
    <w:rsid w:val="00B47534"/>
    <w:rsid w:val="00B50B89"/>
    <w:rsid w:val="00B52AFB"/>
    <w:rsid w:val="00B5557E"/>
    <w:rsid w:val="00B63284"/>
    <w:rsid w:val="00B66667"/>
    <w:rsid w:val="00B75CE0"/>
    <w:rsid w:val="00B84B54"/>
    <w:rsid w:val="00B903B5"/>
    <w:rsid w:val="00B92B0A"/>
    <w:rsid w:val="00B92C7D"/>
    <w:rsid w:val="00B93BB2"/>
    <w:rsid w:val="00B941FB"/>
    <w:rsid w:val="00B9697B"/>
    <w:rsid w:val="00BA46C7"/>
    <w:rsid w:val="00BA4DA4"/>
    <w:rsid w:val="00BA72D2"/>
    <w:rsid w:val="00BB6D15"/>
    <w:rsid w:val="00BB7B45"/>
    <w:rsid w:val="00BC137E"/>
    <w:rsid w:val="00BC2E5F"/>
    <w:rsid w:val="00BC3C3C"/>
    <w:rsid w:val="00BC481E"/>
    <w:rsid w:val="00BC5AF6"/>
    <w:rsid w:val="00BD0ABE"/>
    <w:rsid w:val="00BD3369"/>
    <w:rsid w:val="00BD3E51"/>
    <w:rsid w:val="00BD5B3A"/>
    <w:rsid w:val="00BE3E87"/>
    <w:rsid w:val="00BE5A53"/>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74BD"/>
    <w:rsid w:val="00C855B7"/>
    <w:rsid w:val="00C8586A"/>
    <w:rsid w:val="00CA03FE"/>
    <w:rsid w:val="00CA2B4F"/>
    <w:rsid w:val="00CA5DB0"/>
    <w:rsid w:val="00CC084E"/>
    <w:rsid w:val="00CC58ED"/>
    <w:rsid w:val="00CC6E12"/>
    <w:rsid w:val="00CE2FE0"/>
    <w:rsid w:val="00D0135E"/>
    <w:rsid w:val="00D062C3"/>
    <w:rsid w:val="00D11D51"/>
    <w:rsid w:val="00D145EC"/>
    <w:rsid w:val="00D20FE6"/>
    <w:rsid w:val="00D32DE8"/>
    <w:rsid w:val="00D32E14"/>
    <w:rsid w:val="00D355FB"/>
    <w:rsid w:val="00D43C0B"/>
    <w:rsid w:val="00D44A74"/>
    <w:rsid w:val="00D55804"/>
    <w:rsid w:val="00D57CD2"/>
    <w:rsid w:val="00D57E66"/>
    <w:rsid w:val="00D73350"/>
    <w:rsid w:val="00D76E69"/>
    <w:rsid w:val="00D82231"/>
    <w:rsid w:val="00D869E6"/>
    <w:rsid w:val="00D86D6B"/>
    <w:rsid w:val="00D8756E"/>
    <w:rsid w:val="00D938DD"/>
    <w:rsid w:val="00D95EAB"/>
    <w:rsid w:val="00D974EA"/>
    <w:rsid w:val="00DA29AC"/>
    <w:rsid w:val="00DA329A"/>
    <w:rsid w:val="00DB521B"/>
    <w:rsid w:val="00DC0F52"/>
    <w:rsid w:val="00DC4625"/>
    <w:rsid w:val="00DC4726"/>
    <w:rsid w:val="00DC7EE9"/>
    <w:rsid w:val="00DD0AAB"/>
    <w:rsid w:val="00DD3C66"/>
    <w:rsid w:val="00DD40D2"/>
    <w:rsid w:val="00DD689B"/>
    <w:rsid w:val="00DD763B"/>
    <w:rsid w:val="00DE5BBF"/>
    <w:rsid w:val="00DE5D20"/>
    <w:rsid w:val="00DF01BE"/>
    <w:rsid w:val="00E013A9"/>
    <w:rsid w:val="00E03610"/>
    <w:rsid w:val="00E03A99"/>
    <w:rsid w:val="00E041CD"/>
    <w:rsid w:val="00E06534"/>
    <w:rsid w:val="00E126A5"/>
    <w:rsid w:val="00E1463F"/>
    <w:rsid w:val="00E175E3"/>
    <w:rsid w:val="00E34AA9"/>
    <w:rsid w:val="00E363A9"/>
    <w:rsid w:val="00E40378"/>
    <w:rsid w:val="00E413E0"/>
    <w:rsid w:val="00E429DF"/>
    <w:rsid w:val="00E53AE3"/>
    <w:rsid w:val="00E5574A"/>
    <w:rsid w:val="00E55CEA"/>
    <w:rsid w:val="00E64FB2"/>
    <w:rsid w:val="00E67A1D"/>
    <w:rsid w:val="00E67B7D"/>
    <w:rsid w:val="00E81E2C"/>
    <w:rsid w:val="00E82FBF"/>
    <w:rsid w:val="00E911A3"/>
    <w:rsid w:val="00EA09DA"/>
    <w:rsid w:val="00EA3910"/>
    <w:rsid w:val="00EA662E"/>
    <w:rsid w:val="00EA73C8"/>
    <w:rsid w:val="00EB5D2F"/>
    <w:rsid w:val="00EC10EC"/>
    <w:rsid w:val="00EC1F10"/>
    <w:rsid w:val="00EC456C"/>
    <w:rsid w:val="00ED166C"/>
    <w:rsid w:val="00ED5FA6"/>
    <w:rsid w:val="00ED6080"/>
    <w:rsid w:val="00EE0176"/>
    <w:rsid w:val="00EE6457"/>
    <w:rsid w:val="00EF0942"/>
    <w:rsid w:val="00EF291F"/>
    <w:rsid w:val="00F0218C"/>
    <w:rsid w:val="00F0251A"/>
    <w:rsid w:val="00F0393B"/>
    <w:rsid w:val="00F15D08"/>
    <w:rsid w:val="00F256C4"/>
    <w:rsid w:val="00F313DD"/>
    <w:rsid w:val="00F378BE"/>
    <w:rsid w:val="00F43120"/>
    <w:rsid w:val="00F44FF2"/>
    <w:rsid w:val="00F64378"/>
    <w:rsid w:val="00F67FC3"/>
    <w:rsid w:val="00F70860"/>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676CB8"/>
    <w:rsid w:val="02641DFB"/>
    <w:rsid w:val="03444C9C"/>
    <w:rsid w:val="03816D4F"/>
    <w:rsid w:val="05A531D1"/>
    <w:rsid w:val="06B50E10"/>
    <w:rsid w:val="07DA78EE"/>
    <w:rsid w:val="09161874"/>
    <w:rsid w:val="0A8D7742"/>
    <w:rsid w:val="0AB822A5"/>
    <w:rsid w:val="0AB97D26"/>
    <w:rsid w:val="0BF20D28"/>
    <w:rsid w:val="0C583F4F"/>
    <w:rsid w:val="0C5E25D5"/>
    <w:rsid w:val="0CC80E3F"/>
    <w:rsid w:val="0CFF096B"/>
    <w:rsid w:val="0D185287"/>
    <w:rsid w:val="0D8039B2"/>
    <w:rsid w:val="0DAC482E"/>
    <w:rsid w:val="10DD7F3C"/>
    <w:rsid w:val="10FB6F19"/>
    <w:rsid w:val="120F6B42"/>
    <w:rsid w:val="13706BF0"/>
    <w:rsid w:val="13A73D5B"/>
    <w:rsid w:val="13E833B7"/>
    <w:rsid w:val="14827D32"/>
    <w:rsid w:val="14F05DE7"/>
    <w:rsid w:val="153B29E4"/>
    <w:rsid w:val="15C106BE"/>
    <w:rsid w:val="16580EA0"/>
    <w:rsid w:val="16FF5B47"/>
    <w:rsid w:val="18E83469"/>
    <w:rsid w:val="1A466C29"/>
    <w:rsid w:val="1B122BB8"/>
    <w:rsid w:val="1B304628"/>
    <w:rsid w:val="1B554868"/>
    <w:rsid w:val="1C2E7558"/>
    <w:rsid w:val="1DED3227"/>
    <w:rsid w:val="1EC53D21"/>
    <w:rsid w:val="1EFD3064"/>
    <w:rsid w:val="1FE26E11"/>
    <w:rsid w:val="1FED73FE"/>
    <w:rsid w:val="22185880"/>
    <w:rsid w:val="248E6289"/>
    <w:rsid w:val="25737AA8"/>
    <w:rsid w:val="25B07665"/>
    <w:rsid w:val="25D76220"/>
    <w:rsid w:val="26BB5599"/>
    <w:rsid w:val="26D01CBB"/>
    <w:rsid w:val="279377FB"/>
    <w:rsid w:val="28994B2A"/>
    <w:rsid w:val="295C4868"/>
    <w:rsid w:val="2ADA2ADB"/>
    <w:rsid w:val="2C2A4F28"/>
    <w:rsid w:val="2C6F63F4"/>
    <w:rsid w:val="2E260726"/>
    <w:rsid w:val="2ED10FCE"/>
    <w:rsid w:val="2F0D6594"/>
    <w:rsid w:val="2FBA5EDC"/>
    <w:rsid w:val="309F7453"/>
    <w:rsid w:val="31070F6D"/>
    <w:rsid w:val="32B310BD"/>
    <w:rsid w:val="33822A0F"/>
    <w:rsid w:val="338F45B0"/>
    <w:rsid w:val="33C05D77"/>
    <w:rsid w:val="345871EF"/>
    <w:rsid w:val="353558D8"/>
    <w:rsid w:val="363A78C1"/>
    <w:rsid w:val="366003CD"/>
    <w:rsid w:val="37083255"/>
    <w:rsid w:val="37A20571"/>
    <w:rsid w:val="38491C34"/>
    <w:rsid w:val="39CC17DF"/>
    <w:rsid w:val="3C1B2328"/>
    <w:rsid w:val="3CBD31B6"/>
    <w:rsid w:val="3D515C28"/>
    <w:rsid w:val="3E076650"/>
    <w:rsid w:val="3E201779"/>
    <w:rsid w:val="3EBF49C2"/>
    <w:rsid w:val="3EFB01E2"/>
    <w:rsid w:val="3F954B5E"/>
    <w:rsid w:val="4042341D"/>
    <w:rsid w:val="408112E3"/>
    <w:rsid w:val="414C7AE5"/>
    <w:rsid w:val="41BC1F64"/>
    <w:rsid w:val="41F60E45"/>
    <w:rsid w:val="41F83656"/>
    <w:rsid w:val="42772697"/>
    <w:rsid w:val="43CF3F4E"/>
    <w:rsid w:val="448623F7"/>
    <w:rsid w:val="44FA5C39"/>
    <w:rsid w:val="450E6E58"/>
    <w:rsid w:val="45292F05"/>
    <w:rsid w:val="458E4B9B"/>
    <w:rsid w:val="46117980"/>
    <w:rsid w:val="466B6D95"/>
    <w:rsid w:val="470F569A"/>
    <w:rsid w:val="4729044D"/>
    <w:rsid w:val="478046DF"/>
    <w:rsid w:val="486F26F2"/>
    <w:rsid w:val="499814CB"/>
    <w:rsid w:val="4A144698"/>
    <w:rsid w:val="4B935E0E"/>
    <w:rsid w:val="4C601CDE"/>
    <w:rsid w:val="4C7279FA"/>
    <w:rsid w:val="4D892A45"/>
    <w:rsid w:val="4FA61ABB"/>
    <w:rsid w:val="4FF83AC3"/>
    <w:rsid w:val="50113369"/>
    <w:rsid w:val="50E0053E"/>
    <w:rsid w:val="50EC4BCC"/>
    <w:rsid w:val="510319F7"/>
    <w:rsid w:val="513D08D8"/>
    <w:rsid w:val="51506273"/>
    <w:rsid w:val="517664B3"/>
    <w:rsid w:val="518E3B5A"/>
    <w:rsid w:val="5251711B"/>
    <w:rsid w:val="534B7333"/>
    <w:rsid w:val="5382528E"/>
    <w:rsid w:val="53DF5628"/>
    <w:rsid w:val="5552550A"/>
    <w:rsid w:val="570F0CE3"/>
    <w:rsid w:val="57867A28"/>
    <w:rsid w:val="583E3953"/>
    <w:rsid w:val="584B2C69"/>
    <w:rsid w:val="58E52E67"/>
    <w:rsid w:val="59B13835"/>
    <w:rsid w:val="5A037DBC"/>
    <w:rsid w:val="5A6E4EEC"/>
    <w:rsid w:val="5AD67D94"/>
    <w:rsid w:val="5C4D3175"/>
    <w:rsid w:val="5CE26B6F"/>
    <w:rsid w:val="5D3046F0"/>
    <w:rsid w:val="5DB75A8D"/>
    <w:rsid w:val="5E666CEB"/>
    <w:rsid w:val="5E8A14A9"/>
    <w:rsid w:val="5F451BDC"/>
    <w:rsid w:val="60212844"/>
    <w:rsid w:val="60D26DE5"/>
    <w:rsid w:val="61B16BD9"/>
    <w:rsid w:val="61DA7C04"/>
    <w:rsid w:val="625F7870"/>
    <w:rsid w:val="628772DD"/>
    <w:rsid w:val="62AC3FCC"/>
    <w:rsid w:val="63B71127"/>
    <w:rsid w:val="64693149"/>
    <w:rsid w:val="65510EC8"/>
    <w:rsid w:val="65644665"/>
    <w:rsid w:val="65F71656"/>
    <w:rsid w:val="66173912"/>
    <w:rsid w:val="687264E6"/>
    <w:rsid w:val="68C92951"/>
    <w:rsid w:val="693F5C3A"/>
    <w:rsid w:val="6A890197"/>
    <w:rsid w:val="6ABE6254"/>
    <w:rsid w:val="6AE67270"/>
    <w:rsid w:val="6B085226"/>
    <w:rsid w:val="6B8C0D3B"/>
    <w:rsid w:val="6B966690"/>
    <w:rsid w:val="6BB875C8"/>
    <w:rsid w:val="6C313A0F"/>
    <w:rsid w:val="6C600CDA"/>
    <w:rsid w:val="6DF1016C"/>
    <w:rsid w:val="6E03170B"/>
    <w:rsid w:val="6EA1250E"/>
    <w:rsid w:val="6ED615FD"/>
    <w:rsid w:val="6F3D018E"/>
    <w:rsid w:val="718D1D4F"/>
    <w:rsid w:val="73C572FE"/>
    <w:rsid w:val="740A456F"/>
    <w:rsid w:val="746B7A8B"/>
    <w:rsid w:val="747A76A7"/>
    <w:rsid w:val="77D52026"/>
    <w:rsid w:val="77F03ED5"/>
    <w:rsid w:val="782A7532"/>
    <w:rsid w:val="783223C0"/>
    <w:rsid w:val="79DA5685"/>
    <w:rsid w:val="7A12739A"/>
    <w:rsid w:val="7A882894"/>
    <w:rsid w:val="7CBA7331"/>
    <w:rsid w:val="7CD70E5F"/>
    <w:rsid w:val="7D85227D"/>
    <w:rsid w:val="7E4B2F3F"/>
    <w:rsid w:val="7E9F624D"/>
    <w:rsid w:val="7EA2394E"/>
    <w:rsid w:val="7F063673"/>
    <w:rsid w:val="7F440F59"/>
    <w:rsid w:val="7FE120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7"/>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3"/>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paragraph" w:styleId="14">
    <w:name w:val="annotation subject"/>
    <w:basedOn w:val="8"/>
    <w:next w:val="8"/>
    <w:link w:val="38"/>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7">
    <w:name w:val="page number"/>
    <w:basedOn w:val="16"/>
    <w:qFormat/>
    <w:uiPriority w:val="0"/>
  </w:style>
  <w:style w:type="character" w:styleId="18">
    <w:name w:val="annotation reference"/>
    <w:basedOn w:val="16"/>
    <w:qFormat/>
    <w:uiPriority w:val="0"/>
    <w:rPr>
      <w:sz w:val="21"/>
      <w:szCs w:val="21"/>
    </w:rPr>
  </w:style>
  <w:style w:type="paragraph" w:customStyle="1" w:styleId="19">
    <w:name w:val="B1"/>
    <w:basedOn w:val="1"/>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Times New Roman" w:cs="Times New Roman"/>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修订1"/>
    <w:hidden/>
    <w:semiHidden/>
    <w:qFormat/>
    <w:uiPriority w:val="99"/>
    <w:rPr>
      <w:rFonts w:ascii="Times New Roman" w:hAnsi="Times New Roman" w:eastAsia="Times New Roman" w:cs="Times New Roman"/>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3">
    <w:name w:val="Header Char"/>
    <w:link w:val="11"/>
    <w:qFormat/>
    <w:uiPriority w:val="0"/>
    <w:rPr>
      <w:lang w:eastAsia="en-US"/>
    </w:rPr>
  </w:style>
  <w:style w:type="paragraph" w:customStyle="1" w:styleId="34">
    <w:name w:val="ZT"/>
    <w:qFormat/>
    <w:uiPriority w:val="0"/>
    <w:pPr>
      <w:framePr w:wrap="notBeside" w:vAnchor="margin" w:hAnchor="margin" w:yAlign="center"/>
      <w:widowControl w:val="0"/>
      <w:overflowPunct w:val="0"/>
      <w:autoSpaceDE w:val="0"/>
      <w:autoSpaceDN w:val="0"/>
      <w:adjustRightInd w:val="0"/>
      <w:spacing w:line="240" w:lineRule="atLeast"/>
      <w:jc w:val="right"/>
    </w:pPr>
    <w:rPr>
      <w:rFonts w:ascii="Arial" w:hAnsi="Arial" w:eastAsia="Times New Roman" w:cs="Times New Roman"/>
      <w:b/>
      <w:sz w:val="34"/>
      <w:lang w:val="en-GB" w:eastAsia="en-US" w:bidi="ar-SA"/>
    </w:rPr>
  </w:style>
  <w:style w:type="paragraph" w:customStyle="1" w:styleId="35">
    <w:name w:val="修订2"/>
    <w:hidden/>
    <w:unhideWhenUsed/>
    <w:qFormat/>
    <w:uiPriority w:val="99"/>
    <w:rPr>
      <w:rFonts w:ascii="Times New Roman" w:hAnsi="Times New Roman" w:eastAsia="Times New Roman" w:cs="Times New Roman"/>
      <w:lang w:val="en-GB" w:eastAsia="en-US" w:bidi="ar-SA"/>
    </w:rPr>
  </w:style>
  <w:style w:type="paragraph" w:customStyle="1" w:styleId="36">
    <w:name w:val="Revision1"/>
    <w:hidden/>
    <w:unhideWhenUsed/>
    <w:qFormat/>
    <w:uiPriority w:val="99"/>
    <w:rPr>
      <w:rFonts w:ascii="Times New Roman" w:hAnsi="Times New Roman" w:eastAsia="Times New Roman" w:cs="Times New Roman"/>
      <w:lang w:val="en-GB" w:eastAsia="en-US" w:bidi="ar-SA"/>
    </w:rPr>
  </w:style>
  <w:style w:type="character" w:customStyle="1" w:styleId="37">
    <w:name w:val="Comment Text Char"/>
    <w:basedOn w:val="16"/>
    <w:link w:val="8"/>
    <w:semiHidden/>
    <w:qFormat/>
    <w:uiPriority w:val="0"/>
    <w:rPr>
      <w:rFonts w:ascii="Arial" w:hAnsi="Arial" w:eastAsia="Times New Roman"/>
      <w:lang w:val="en-GB" w:eastAsia="en-US"/>
    </w:rPr>
  </w:style>
  <w:style w:type="character" w:customStyle="1" w:styleId="38">
    <w:name w:val="Comment Subject Char"/>
    <w:basedOn w:val="37"/>
    <w:link w:val="14"/>
    <w:qFormat/>
    <w:uiPriority w:val="0"/>
    <w:rPr>
      <w:rFonts w:ascii="Arial" w:hAnsi="Arial" w:eastAsia="Times New Roman"/>
      <w:b/>
      <w:bCs/>
      <w:lang w:val="en-GB" w:eastAsia="en-US"/>
    </w:rPr>
  </w:style>
  <w:style w:type="paragraph" w:customStyle="1" w:styleId="39">
    <w:name w:val="Revision2"/>
    <w:hidden/>
    <w:unhideWhenUsed/>
    <w:qFormat/>
    <w:uiPriority w:val="99"/>
    <w:rPr>
      <w:rFonts w:ascii="Times New Roman" w:hAnsi="Times New Roman" w:eastAsia="Times New Roman" w:cs="Times New Roman"/>
      <w:lang w:val="en-GB" w:eastAsia="en-US" w:bidi="ar-SA"/>
    </w:rPr>
  </w:style>
  <w:style w:type="paragraph" w:customStyle="1" w:styleId="40">
    <w:name w:val="Revision3"/>
    <w:hidden/>
    <w:unhideWhenUsed/>
    <w:qFormat/>
    <w:uiPriority w:val="99"/>
    <w:rPr>
      <w:rFonts w:ascii="Times New Roman" w:hAnsi="Times New Roman" w:eastAsia="Times New Roman" w:cs="Times New Roman"/>
      <w:lang w:val="en-GB" w:eastAsia="en-US" w:bidi="ar-SA"/>
    </w:rPr>
  </w:style>
  <w:style w:type="paragraph" w:customStyle="1" w:styleId="41">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D5E21A-9086-4D99-9448-BC22CB63486E}">
  <ds:schemaRefs/>
</ds:datastoreItem>
</file>

<file path=customXml/itemProps2.xml><?xml version="1.0" encoding="utf-8"?>
<ds:datastoreItem xmlns:ds="http://schemas.openxmlformats.org/officeDocument/2006/customXml" ds:itemID="{5348B882-7D7A-4C17-946A-C7FD92068A8E}">
  <ds:schemaRefs/>
</ds:datastoreItem>
</file>

<file path=customXml/itemProps3.xml><?xml version="1.0" encoding="utf-8"?>
<ds:datastoreItem xmlns:ds="http://schemas.openxmlformats.org/officeDocument/2006/customXml" ds:itemID="{9D06ADA8-9AC1-4310-8857-20C40CA6E7A5}">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1027</Words>
  <Characters>5860</Characters>
  <Lines>48</Lines>
  <Paragraphs>13</Paragraphs>
  <TotalTime>3</TotalTime>
  <ScaleCrop>false</ScaleCrop>
  <LinksUpToDate>false</LinksUpToDate>
  <CharactersWithSpaces>6874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2024-10-02T17:32:00Z</dcterms:created>
  <dc:creator>Alain Sultan</dc:creator>
  <cp:lastModifiedBy>Guangjing Cao</cp:lastModifiedBy>
  <cp:lastPrinted>2001-04-23T09:30:00Z</cp:lastPrinted>
  <dcterms:modified xsi:type="dcterms:W3CDTF">2024-11-08T13:24:29Z</dcterms:modified>
  <dc:title>Source: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F312D453AE044C8DB62AD1C1EC08B833</vt:lpwstr>
  </property>
</Properties>
</file>